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left="-359" w:leftChars="-171" w:right="-153" w:rightChars="-73"/>
        <w:jc w:val="center"/>
        <w:rPr>
          <w:rFonts w:eastAsia="黑体"/>
          <w:sz w:val="32"/>
          <w:szCs w:val="32"/>
        </w:rPr>
      </w:pPr>
      <w:r>
        <w:rPr>
          <w:rFonts w:eastAsia="黑体"/>
          <w:sz w:val="32"/>
          <w:szCs w:val="32"/>
        </w:rPr>
        <w:t xml:space="preserve">                           </w:t>
      </w:r>
      <w:r>
        <w:rPr>
          <w:rFonts w:hAnsi="黑体" w:eastAsia="黑体"/>
          <w:sz w:val="32"/>
          <w:szCs w:val="32"/>
        </w:rPr>
        <w:t>预案编号：</w:t>
      </w:r>
    </w:p>
    <w:p>
      <w:pPr>
        <w:spacing w:line="360" w:lineRule="auto"/>
        <w:ind w:left="-359" w:leftChars="-171" w:right="-153" w:rightChars="-73"/>
        <w:jc w:val="center"/>
        <w:rPr>
          <w:rFonts w:eastAsia="黑体"/>
          <w:sz w:val="32"/>
          <w:szCs w:val="32"/>
        </w:rPr>
      </w:pPr>
    </w:p>
    <w:p>
      <w:pPr>
        <w:spacing w:line="360" w:lineRule="auto"/>
        <w:ind w:left="-359" w:leftChars="-171" w:right="-153" w:rightChars="-73"/>
        <w:jc w:val="center"/>
        <w:rPr>
          <w:rFonts w:eastAsia="黑体"/>
          <w:sz w:val="32"/>
          <w:szCs w:val="32"/>
        </w:rPr>
      </w:pPr>
    </w:p>
    <w:p>
      <w:pPr>
        <w:spacing w:line="360" w:lineRule="auto"/>
        <w:ind w:left="-359" w:leftChars="-171" w:right="-153" w:rightChars="-73"/>
        <w:jc w:val="center"/>
        <w:rPr>
          <w:rFonts w:eastAsia="黑体"/>
          <w:sz w:val="32"/>
          <w:szCs w:val="32"/>
        </w:rPr>
      </w:pPr>
    </w:p>
    <w:p>
      <w:pPr>
        <w:tabs>
          <w:tab w:val="left" w:pos="5310"/>
        </w:tabs>
        <w:jc w:val="center"/>
        <w:rPr>
          <w:b/>
          <w:snapToGrid w:val="0"/>
          <w:color w:val="FF0000"/>
          <w:spacing w:val="4"/>
          <w:kern w:val="0"/>
          <w:sz w:val="44"/>
          <w:szCs w:val="44"/>
        </w:rPr>
      </w:pPr>
    </w:p>
    <w:p>
      <w:pPr>
        <w:tabs>
          <w:tab w:val="left" w:pos="5310"/>
        </w:tabs>
        <w:jc w:val="center"/>
        <w:rPr>
          <w:rFonts w:hint="eastAsia" w:eastAsia="宋体"/>
          <w:b/>
          <w:snapToGrid w:val="0"/>
          <w:color w:val="FF0000"/>
          <w:spacing w:val="4"/>
          <w:kern w:val="0"/>
          <w:sz w:val="44"/>
          <w:szCs w:val="44"/>
          <w:lang w:eastAsia="zh-CN"/>
        </w:rPr>
      </w:pPr>
      <w:bookmarkStart w:id="0" w:name="_Toc470161874"/>
      <w:r>
        <w:rPr>
          <w:rFonts w:hint="eastAsia"/>
          <w:b/>
          <w:snapToGrid w:val="0"/>
          <w:color w:val="FF0000"/>
          <w:spacing w:val="4"/>
          <w:kern w:val="0"/>
          <w:sz w:val="44"/>
          <w:szCs w:val="44"/>
          <w:lang w:eastAsia="zh-CN"/>
        </w:rPr>
        <w:t>中国石化销售股份有限公司江西南昌红谷滩石油分公司世纪星加油站</w:t>
      </w:r>
    </w:p>
    <w:p>
      <w:pPr>
        <w:tabs>
          <w:tab w:val="left" w:pos="5310"/>
        </w:tabs>
        <w:jc w:val="center"/>
        <w:rPr>
          <w:b/>
          <w:snapToGrid w:val="0"/>
          <w:color w:val="000000" w:themeColor="text1"/>
          <w:spacing w:val="4"/>
          <w:kern w:val="0"/>
          <w:sz w:val="44"/>
          <w:szCs w:val="44"/>
          <w14:textFill>
            <w14:solidFill>
              <w14:schemeClr w14:val="tx1"/>
            </w14:solidFill>
          </w14:textFill>
        </w:rPr>
      </w:pPr>
      <w:r>
        <w:rPr>
          <w:b/>
          <w:snapToGrid w:val="0"/>
          <w:color w:val="000000" w:themeColor="text1"/>
          <w:spacing w:val="4"/>
          <w:kern w:val="0"/>
          <w:sz w:val="44"/>
          <w:szCs w:val="44"/>
          <w14:textFill>
            <w14:solidFill>
              <w14:schemeClr w14:val="tx1"/>
            </w14:solidFill>
          </w14:textFill>
        </w:rPr>
        <w:t>突发环境事件应急预案</w:t>
      </w:r>
      <w:bookmarkEnd w:id="0"/>
    </w:p>
    <w:p>
      <w:pPr>
        <w:tabs>
          <w:tab w:val="left" w:pos="5310"/>
        </w:tabs>
        <w:jc w:val="center"/>
        <w:rPr>
          <w:b/>
          <w:snapToGrid w:val="0"/>
          <w:color w:val="000000" w:themeColor="text1"/>
          <w:spacing w:val="4"/>
          <w:kern w:val="0"/>
          <w:sz w:val="44"/>
          <w:szCs w:val="44"/>
          <w14:textFill>
            <w14:solidFill>
              <w14:schemeClr w14:val="tx1"/>
            </w14:solidFill>
          </w14:textFill>
        </w:rPr>
      </w:pPr>
      <w:bookmarkStart w:id="1" w:name="_Toc334455117"/>
      <w:bookmarkStart w:id="2" w:name="_Toc332923722"/>
      <w:r>
        <w:rPr>
          <w:rFonts w:asciiTheme="minorEastAsia" w:hAnsiTheme="minorEastAsia" w:eastAsiaTheme="minorEastAsia"/>
          <w:b/>
          <w:snapToGrid w:val="0"/>
          <w:color w:val="000000" w:themeColor="text1"/>
          <w:spacing w:val="4"/>
          <w:kern w:val="0"/>
          <w:sz w:val="44"/>
          <w:szCs w:val="44"/>
          <w14:textFill>
            <w14:solidFill>
              <w14:schemeClr w14:val="tx1"/>
            </w14:solidFill>
          </w14:textFill>
        </w:rPr>
        <w:t>(</w:t>
      </w:r>
      <w:r>
        <w:rPr>
          <w:b/>
          <w:snapToGrid w:val="0"/>
          <w:color w:val="000000" w:themeColor="text1"/>
          <w:spacing w:val="4"/>
          <w:kern w:val="0"/>
          <w:sz w:val="44"/>
          <w:szCs w:val="44"/>
          <w14:textFill>
            <w14:solidFill>
              <w14:schemeClr w14:val="tx1"/>
            </w14:solidFill>
          </w14:textFill>
        </w:rPr>
        <w:t>201</w:t>
      </w:r>
      <w:r>
        <w:rPr>
          <w:rFonts w:hint="eastAsia"/>
          <w:b/>
          <w:snapToGrid w:val="0"/>
          <w:color w:val="000000" w:themeColor="text1"/>
          <w:spacing w:val="4"/>
          <w:kern w:val="0"/>
          <w:sz w:val="44"/>
          <w:szCs w:val="44"/>
          <w14:textFill>
            <w14:solidFill>
              <w14:schemeClr w14:val="tx1"/>
            </w14:solidFill>
          </w14:textFill>
        </w:rPr>
        <w:t>9</w:t>
      </w:r>
      <w:r>
        <w:rPr>
          <w:b/>
          <w:snapToGrid w:val="0"/>
          <w:color w:val="000000" w:themeColor="text1"/>
          <w:spacing w:val="4"/>
          <w:kern w:val="0"/>
          <w:sz w:val="44"/>
          <w:szCs w:val="44"/>
          <w14:textFill>
            <w14:solidFill>
              <w14:schemeClr w14:val="tx1"/>
            </w14:solidFill>
          </w14:textFill>
        </w:rPr>
        <w:t>年版</w:t>
      </w:r>
      <w:r>
        <w:rPr>
          <w:rFonts w:asciiTheme="minorEastAsia" w:hAnsiTheme="minorEastAsia" w:eastAsiaTheme="minorEastAsia"/>
          <w:b/>
          <w:snapToGrid w:val="0"/>
          <w:color w:val="000000" w:themeColor="text1"/>
          <w:spacing w:val="4"/>
          <w:kern w:val="0"/>
          <w:sz w:val="44"/>
          <w:szCs w:val="44"/>
          <w14:textFill>
            <w14:solidFill>
              <w14:schemeClr w14:val="tx1"/>
            </w14:solidFill>
          </w14:textFill>
        </w:rPr>
        <w:t>)</w:t>
      </w:r>
      <w:bookmarkEnd w:id="1"/>
      <w:bookmarkEnd w:id="2"/>
    </w:p>
    <w:p>
      <w:pPr>
        <w:pStyle w:val="45"/>
        <w:spacing w:line="360" w:lineRule="auto"/>
        <w:ind w:firstLine="0" w:firstLineChars="0"/>
        <w:jc w:val="center"/>
        <w:rPr>
          <w:rFonts w:ascii="Times New Roman" w:hAnsi="Times New Roman" w:eastAsia="Verdana" w:cs="Times New Roman"/>
          <w:color w:val="000000" w:themeColor="text1"/>
          <w:sz w:val="32"/>
          <w:szCs w:val="32"/>
          <w14:textFill>
            <w14:solidFill>
              <w14:schemeClr w14:val="tx1"/>
            </w14:solidFill>
          </w14:textFill>
        </w:rPr>
      </w:pPr>
    </w:p>
    <w:p>
      <w:pPr>
        <w:pStyle w:val="45"/>
        <w:spacing w:line="360" w:lineRule="auto"/>
        <w:ind w:firstLine="2160" w:firstLineChars="450"/>
        <w:jc w:val="center"/>
        <w:rPr>
          <w:rFonts w:ascii="Times New Roman" w:hAnsi="Times New Roman" w:cs="Times New Roman"/>
          <w:color w:val="000000" w:themeColor="text1"/>
          <w:sz w:val="48"/>
          <w:szCs w:val="48"/>
          <w14:textFill>
            <w14:solidFill>
              <w14:schemeClr w14:val="tx1"/>
            </w14:solidFill>
          </w14:textFill>
        </w:rPr>
      </w:pPr>
    </w:p>
    <w:p>
      <w:pPr>
        <w:pStyle w:val="45"/>
        <w:spacing w:line="360" w:lineRule="auto"/>
        <w:ind w:firstLine="2160" w:firstLineChars="450"/>
        <w:jc w:val="center"/>
        <w:rPr>
          <w:rFonts w:ascii="Times New Roman" w:hAnsi="Times New Roman" w:cs="Times New Roman"/>
          <w:sz w:val="48"/>
          <w:szCs w:val="48"/>
        </w:rPr>
      </w:pPr>
    </w:p>
    <w:p>
      <w:pPr>
        <w:pStyle w:val="45"/>
        <w:spacing w:line="360" w:lineRule="auto"/>
        <w:ind w:firstLine="2160" w:firstLineChars="450"/>
        <w:jc w:val="center"/>
        <w:rPr>
          <w:rFonts w:ascii="Times New Roman" w:hAnsi="Times New Roman" w:cs="Times New Roman"/>
          <w:sz w:val="48"/>
          <w:szCs w:val="48"/>
        </w:rPr>
      </w:pPr>
    </w:p>
    <w:p>
      <w:pPr>
        <w:pStyle w:val="45"/>
        <w:spacing w:line="360" w:lineRule="auto"/>
        <w:ind w:firstLine="2160" w:firstLineChars="450"/>
        <w:jc w:val="center"/>
        <w:rPr>
          <w:rFonts w:ascii="Times New Roman" w:hAnsi="Times New Roman" w:cs="Times New Roman"/>
          <w:sz w:val="48"/>
          <w:szCs w:val="48"/>
        </w:rPr>
      </w:pPr>
    </w:p>
    <w:p>
      <w:pPr>
        <w:pStyle w:val="45"/>
        <w:spacing w:line="360" w:lineRule="auto"/>
        <w:ind w:firstLine="2160" w:firstLineChars="450"/>
        <w:jc w:val="center"/>
        <w:rPr>
          <w:rFonts w:ascii="Times New Roman" w:hAnsi="Times New Roman" w:cs="Times New Roman"/>
          <w:sz w:val="48"/>
          <w:szCs w:val="48"/>
        </w:rPr>
      </w:pPr>
    </w:p>
    <w:p>
      <w:pPr>
        <w:pStyle w:val="45"/>
        <w:spacing w:line="360" w:lineRule="auto"/>
        <w:ind w:firstLine="2160" w:firstLineChars="450"/>
        <w:jc w:val="center"/>
        <w:rPr>
          <w:rFonts w:ascii="Times New Roman" w:hAnsi="Times New Roman" w:cs="Times New Roman"/>
          <w:sz w:val="48"/>
          <w:szCs w:val="48"/>
        </w:rPr>
      </w:pPr>
    </w:p>
    <w:p>
      <w:pPr>
        <w:pStyle w:val="45"/>
        <w:spacing w:line="360" w:lineRule="auto"/>
        <w:ind w:firstLine="2160" w:firstLineChars="450"/>
        <w:jc w:val="center"/>
        <w:rPr>
          <w:rFonts w:ascii="Times New Roman" w:hAnsi="Times New Roman" w:cs="Times New Roman"/>
          <w:sz w:val="48"/>
          <w:szCs w:val="48"/>
        </w:rPr>
      </w:pPr>
    </w:p>
    <w:p>
      <w:pPr>
        <w:pStyle w:val="45"/>
        <w:spacing w:line="360" w:lineRule="auto"/>
        <w:ind w:firstLine="0" w:firstLineChars="0"/>
        <w:rPr>
          <w:rFonts w:ascii="Times New Roman" w:hAnsi="Times New Roman" w:cs="Times New Roman"/>
          <w:sz w:val="48"/>
          <w:szCs w:val="48"/>
        </w:rPr>
      </w:pPr>
    </w:p>
    <w:p>
      <w:pPr>
        <w:autoSpaceDE w:val="0"/>
        <w:autoSpaceDN w:val="0"/>
        <w:adjustRightInd w:val="0"/>
        <w:spacing w:line="480" w:lineRule="auto"/>
        <w:jc w:val="center"/>
        <w:rPr>
          <w:rFonts w:hint="eastAsia" w:eastAsia="宋体"/>
          <w:b/>
          <w:color w:val="FF0000"/>
          <w:spacing w:val="-20"/>
          <w:sz w:val="28"/>
          <w:szCs w:val="28"/>
          <w:lang w:eastAsia="zh-CN"/>
        </w:rPr>
      </w:pPr>
      <w:r>
        <w:rPr>
          <w:rFonts w:hint="eastAsia"/>
          <w:b/>
          <w:color w:val="FF0000"/>
          <w:spacing w:val="-20"/>
          <w:sz w:val="28"/>
          <w:szCs w:val="28"/>
          <w:lang w:eastAsia="zh-CN"/>
        </w:rPr>
        <w:t>中国石化销售股份有限公司江西南昌红谷滩石油分公司世纪星加油站</w:t>
      </w:r>
    </w:p>
    <w:p>
      <w:pPr>
        <w:autoSpaceDE w:val="0"/>
        <w:autoSpaceDN w:val="0"/>
        <w:adjustRightInd w:val="0"/>
        <w:spacing w:line="480" w:lineRule="auto"/>
        <w:jc w:val="center"/>
        <w:rPr>
          <w:b/>
          <w:color w:val="000000" w:themeColor="text1"/>
          <w:spacing w:val="5"/>
          <w:sz w:val="32"/>
          <w:szCs w:val="32"/>
          <w14:textFill>
            <w14:solidFill>
              <w14:schemeClr w14:val="tx1"/>
            </w14:solidFill>
          </w14:textFill>
        </w:rPr>
        <w:sectPr>
          <w:pgSz w:w="11906" w:h="16838"/>
          <w:pgMar w:top="1440" w:right="1800" w:bottom="1440" w:left="1800" w:header="851" w:footer="992" w:gutter="0"/>
          <w:cols w:space="720" w:num="1"/>
          <w:docGrid w:type="lines" w:linePitch="312" w:charSpace="0"/>
        </w:sectPr>
      </w:pPr>
      <w:r>
        <w:rPr>
          <w:rFonts w:hint="eastAsia"/>
          <w:b/>
          <w:color w:val="000000" w:themeColor="text1"/>
          <w:spacing w:val="5"/>
          <w:sz w:val="32"/>
          <w:szCs w:val="32"/>
          <w14:textFill>
            <w14:solidFill>
              <w14:schemeClr w14:val="tx1"/>
            </w14:solidFill>
          </w14:textFill>
        </w:rPr>
        <w:t>2019年</w:t>
      </w:r>
      <w:r>
        <w:rPr>
          <w:b/>
          <w:color w:val="000000" w:themeColor="text1"/>
          <w:spacing w:val="5"/>
          <w:sz w:val="32"/>
          <w:szCs w:val="32"/>
          <w14:textFill>
            <w14:solidFill>
              <w14:schemeClr w14:val="tx1"/>
            </w14:solidFill>
          </w14:textFill>
        </w:rPr>
        <w:t>6</w:t>
      </w:r>
      <w:r>
        <w:rPr>
          <w:rFonts w:hint="eastAsia"/>
          <w:b/>
          <w:color w:val="000000" w:themeColor="text1"/>
          <w:spacing w:val="5"/>
          <w:sz w:val="32"/>
          <w:szCs w:val="32"/>
          <w14:textFill>
            <w14:solidFill>
              <w14:schemeClr w14:val="tx1"/>
            </w14:solidFill>
          </w14:textFill>
        </w:rPr>
        <w:t>月</w:t>
      </w:r>
    </w:p>
    <w:p>
      <w:pPr>
        <w:sectPr>
          <w:pgSz w:w="11906" w:h="16838"/>
          <w:pgMar w:top="1440" w:right="1800" w:bottom="1440" w:left="1800" w:header="851" w:footer="992" w:gutter="0"/>
          <w:cols w:space="425" w:num="1"/>
          <w:docGrid w:type="lines" w:linePitch="312" w:charSpace="0"/>
        </w:sectPr>
      </w:pPr>
    </w:p>
    <w:p>
      <w:pPr>
        <w:tabs>
          <w:tab w:val="left" w:pos="9000"/>
        </w:tabs>
        <w:topLinePunct/>
        <w:adjustRightInd w:val="0"/>
        <w:snapToGrid w:val="0"/>
        <w:spacing w:line="300" w:lineRule="auto"/>
        <w:ind w:right="48"/>
        <w:jc w:val="center"/>
        <w:rPr>
          <w:rFonts w:ascii="宋体" w:hAnsi="宋体"/>
          <w:sz w:val="24"/>
          <w:szCs w:val="32"/>
        </w:rPr>
      </w:pPr>
      <w:r>
        <w:rPr>
          <w:rFonts w:ascii="宋体" w:hAnsi="宋体"/>
          <w:sz w:val="24"/>
          <w:szCs w:val="32"/>
        </w:rPr>
        <w:t>发布公告</w:t>
      </w:r>
    </w:p>
    <w:p>
      <w:pPr>
        <w:topLinePunct/>
        <w:adjustRightInd w:val="0"/>
        <w:snapToGrid w:val="0"/>
        <w:spacing w:line="440" w:lineRule="exact"/>
        <w:ind w:firstLine="480" w:firstLineChars="200"/>
        <w:rPr>
          <w:rFonts w:ascii="宋体" w:hAnsi="宋体"/>
          <w:snapToGrid w:val="0"/>
          <w:color w:val="000000" w:themeColor="text1"/>
          <w:kern w:val="0"/>
          <w:sz w:val="24"/>
          <w14:textFill>
            <w14:solidFill>
              <w14:schemeClr w14:val="tx1"/>
            </w14:solidFill>
          </w14:textFill>
        </w:rPr>
      </w:pPr>
      <w:r>
        <w:rPr>
          <w:rFonts w:ascii="宋体" w:hAnsi="宋体"/>
          <w:snapToGrid w:val="0"/>
          <w:kern w:val="0"/>
          <w:sz w:val="24"/>
        </w:rPr>
        <w:t>为贯彻落实《中华人民共和国环境保护法》、《中华人民共和国大气污染防治法》、《中华人民共和国水污染防治法》、《中华人民共和国固体废物污染环境防治法》等法律、法规有关规定，建立健全</w:t>
      </w:r>
      <w:r>
        <w:rPr>
          <w:rFonts w:hint="eastAsia" w:hAnsi="宋体"/>
          <w:color w:val="FF0000"/>
          <w:sz w:val="24"/>
          <w:lang w:eastAsia="zh-CN"/>
        </w:rPr>
        <w:t>中国石化销售股份有限公司江西南昌红谷滩石油分公司世纪星加油站</w:t>
      </w:r>
      <w:r>
        <w:rPr>
          <w:rFonts w:ascii="宋体" w:hAnsi="宋体"/>
          <w:snapToGrid w:val="0"/>
          <w:color w:val="000000" w:themeColor="text1"/>
          <w:kern w:val="0"/>
          <w:sz w:val="24"/>
          <w14:textFill>
            <w14:solidFill>
              <w14:schemeClr w14:val="tx1"/>
            </w14:solidFill>
          </w14:textFill>
        </w:rPr>
        <w:t>突发环境事件应急体系，确保</w:t>
      </w:r>
      <w:r>
        <w:rPr>
          <w:rFonts w:hint="eastAsia" w:ascii="宋体" w:hAnsi="宋体"/>
          <w:snapToGrid w:val="0"/>
          <w:color w:val="000000" w:themeColor="text1"/>
          <w:kern w:val="0"/>
          <w:sz w:val="24"/>
          <w14:textFill>
            <w14:solidFill>
              <w14:schemeClr w14:val="tx1"/>
            </w14:solidFill>
          </w14:textFill>
        </w:rPr>
        <w:t>企业</w:t>
      </w:r>
      <w:r>
        <w:rPr>
          <w:rFonts w:ascii="宋体" w:hAnsi="宋体"/>
          <w:snapToGrid w:val="0"/>
          <w:color w:val="000000" w:themeColor="text1"/>
          <w:kern w:val="0"/>
          <w:sz w:val="24"/>
          <w14:textFill>
            <w14:solidFill>
              <w14:schemeClr w14:val="tx1"/>
            </w14:solidFill>
          </w14:textFill>
        </w:rPr>
        <w:t>在发生突发环境事件时，各项应急工作能够快速启动，高效有序，最大限度地减轻突发环境事件对环境造成的危害和损失，结合</w:t>
      </w:r>
      <w:r>
        <w:rPr>
          <w:rFonts w:hint="eastAsia" w:ascii="宋体" w:hAnsi="宋体"/>
          <w:snapToGrid w:val="0"/>
          <w:color w:val="000000" w:themeColor="text1"/>
          <w:kern w:val="0"/>
          <w:sz w:val="24"/>
          <w14:textFill>
            <w14:solidFill>
              <w14:schemeClr w14:val="tx1"/>
            </w14:solidFill>
          </w14:textFill>
        </w:rPr>
        <w:t>企业</w:t>
      </w:r>
      <w:r>
        <w:rPr>
          <w:rFonts w:ascii="宋体" w:hAnsi="宋体"/>
          <w:snapToGrid w:val="0"/>
          <w:color w:val="000000" w:themeColor="text1"/>
          <w:kern w:val="0"/>
          <w:sz w:val="24"/>
          <w14:textFill>
            <w14:solidFill>
              <w14:schemeClr w14:val="tx1"/>
            </w14:solidFill>
          </w14:textFill>
        </w:rPr>
        <w:t>的实际情况，制定了《</w:t>
      </w:r>
      <w:r>
        <w:rPr>
          <w:rFonts w:hint="eastAsia" w:hAnsi="宋体"/>
          <w:color w:val="FF0000"/>
          <w:sz w:val="24"/>
          <w:lang w:eastAsia="zh-CN"/>
        </w:rPr>
        <w:t>中国石化销售股份有限公司江西南昌红谷滩石油分公司世纪星加油站</w:t>
      </w:r>
      <w:r>
        <w:rPr>
          <w:rFonts w:ascii="宋体" w:hAnsi="宋体"/>
          <w:snapToGrid w:val="0"/>
          <w:color w:val="000000" w:themeColor="text1"/>
          <w:kern w:val="0"/>
          <w:sz w:val="24"/>
          <w14:textFill>
            <w14:solidFill>
              <w14:schemeClr w14:val="tx1"/>
            </w14:solidFill>
          </w14:textFill>
        </w:rPr>
        <w:t>突发环境事件应急预案》。</w:t>
      </w:r>
    </w:p>
    <w:p>
      <w:pPr>
        <w:topLinePunct/>
        <w:adjustRightInd w:val="0"/>
        <w:snapToGrid w:val="0"/>
        <w:spacing w:line="440" w:lineRule="exact"/>
        <w:ind w:firstLine="480" w:firstLineChars="200"/>
        <w:rPr>
          <w:rFonts w:ascii="宋体" w:hAnsi="宋体"/>
          <w:snapToGrid w:val="0"/>
          <w:color w:val="000000" w:themeColor="text1"/>
          <w:kern w:val="0"/>
          <w:sz w:val="24"/>
          <w14:textFill>
            <w14:solidFill>
              <w14:schemeClr w14:val="tx1"/>
            </w14:solidFill>
          </w14:textFill>
        </w:rPr>
      </w:pPr>
      <w:r>
        <w:rPr>
          <w:rFonts w:ascii="宋体" w:hAnsi="宋体"/>
          <w:snapToGrid w:val="0"/>
          <w:color w:val="000000" w:themeColor="text1"/>
          <w:kern w:val="0"/>
          <w:sz w:val="24"/>
          <w14:textFill>
            <w14:solidFill>
              <w14:schemeClr w14:val="tx1"/>
            </w14:solidFill>
          </w14:textFill>
        </w:rPr>
        <w:t>《突发环境事件应急预案》现批准发布，自发布之日起实施。</w:t>
      </w:r>
    </w:p>
    <w:p>
      <w:pPr>
        <w:spacing w:line="360" w:lineRule="auto"/>
        <w:jc w:val="center"/>
        <w:rPr>
          <w:rFonts w:eastAsia="仿宋"/>
          <w:bCs/>
          <w:color w:val="000000" w:themeColor="text1"/>
          <w:sz w:val="32"/>
          <w:szCs w:val="32"/>
          <w14:textFill>
            <w14:solidFill>
              <w14:schemeClr w14:val="tx1"/>
            </w14:solidFill>
          </w14:textFill>
        </w:rPr>
      </w:pPr>
    </w:p>
    <w:p>
      <w:pPr>
        <w:spacing w:line="360" w:lineRule="auto"/>
        <w:jc w:val="center"/>
        <w:rPr>
          <w:rFonts w:eastAsia="仿宋"/>
          <w:bCs/>
          <w:sz w:val="32"/>
          <w:szCs w:val="32"/>
        </w:rPr>
      </w:pPr>
    </w:p>
    <w:p>
      <w:pPr>
        <w:spacing w:line="360" w:lineRule="auto"/>
        <w:jc w:val="center"/>
        <w:rPr>
          <w:rFonts w:eastAsia="仿宋"/>
          <w:bCs/>
          <w:sz w:val="32"/>
          <w:szCs w:val="32"/>
        </w:rPr>
      </w:pPr>
    </w:p>
    <w:p>
      <w:pPr>
        <w:spacing w:line="360" w:lineRule="auto"/>
        <w:jc w:val="center"/>
        <w:rPr>
          <w:rFonts w:eastAsia="仿宋"/>
          <w:bCs/>
          <w:sz w:val="32"/>
          <w:szCs w:val="32"/>
        </w:rPr>
      </w:pPr>
    </w:p>
    <w:p>
      <w:pPr>
        <w:spacing w:line="360" w:lineRule="auto"/>
        <w:jc w:val="center"/>
        <w:rPr>
          <w:rFonts w:ascii="宋体" w:hAnsi="宋体"/>
          <w:snapToGrid w:val="0"/>
          <w:kern w:val="0"/>
          <w:sz w:val="24"/>
          <w:szCs w:val="30"/>
        </w:rPr>
      </w:pPr>
    </w:p>
    <w:p>
      <w:pPr>
        <w:topLinePunct/>
        <w:adjustRightInd w:val="0"/>
        <w:snapToGrid w:val="0"/>
        <w:spacing w:line="300" w:lineRule="auto"/>
        <w:ind w:right="1160" w:firstLine="4800" w:firstLineChars="2000"/>
        <w:jc w:val="right"/>
        <w:rPr>
          <w:rFonts w:ascii="宋体" w:hAnsi="宋体"/>
          <w:snapToGrid w:val="0"/>
          <w:kern w:val="0"/>
          <w:sz w:val="24"/>
          <w:szCs w:val="30"/>
        </w:rPr>
      </w:pPr>
      <w:r>
        <w:rPr>
          <w:rFonts w:ascii="宋体" w:hAnsi="宋体"/>
          <w:snapToGrid w:val="0"/>
          <w:kern w:val="0"/>
          <w:sz w:val="24"/>
          <w:szCs w:val="30"/>
        </w:rPr>
        <w:t>批准人：</w:t>
      </w:r>
    </w:p>
    <w:p>
      <w:pPr>
        <w:topLinePunct/>
        <w:adjustRightInd w:val="0"/>
        <w:snapToGrid w:val="0"/>
        <w:spacing w:line="300" w:lineRule="auto"/>
        <w:ind w:right="1160" w:firstLine="4800" w:firstLineChars="2000"/>
        <w:jc w:val="right"/>
        <w:rPr>
          <w:rFonts w:ascii="宋体" w:hAnsi="宋体"/>
          <w:snapToGrid w:val="0"/>
          <w:kern w:val="0"/>
          <w:sz w:val="24"/>
          <w:szCs w:val="30"/>
        </w:rPr>
      </w:pPr>
    </w:p>
    <w:p>
      <w:pPr>
        <w:wordWrap w:val="0"/>
        <w:topLinePunct/>
        <w:adjustRightInd w:val="0"/>
        <w:snapToGrid w:val="0"/>
        <w:spacing w:line="300" w:lineRule="auto"/>
        <w:ind w:right="11" w:firstLine="4800" w:firstLineChars="2000"/>
        <w:jc w:val="right"/>
        <w:rPr>
          <w:rFonts w:ascii="宋体" w:hAnsi="宋体"/>
          <w:snapToGrid w:val="0"/>
          <w:kern w:val="0"/>
          <w:sz w:val="24"/>
          <w:szCs w:val="30"/>
        </w:rPr>
        <w:sectPr>
          <w:headerReference r:id="rId3" w:type="default"/>
          <w:pgSz w:w="11906" w:h="16838"/>
          <w:pgMar w:top="1440" w:right="1800" w:bottom="1440" w:left="1800" w:header="851" w:footer="992" w:gutter="0"/>
          <w:cols w:space="425" w:num="1"/>
          <w:docGrid w:type="lines" w:linePitch="312" w:charSpace="0"/>
        </w:sectPr>
      </w:pPr>
      <w:r>
        <w:rPr>
          <w:rFonts w:ascii="宋体" w:hAnsi="宋体"/>
          <w:snapToGrid w:val="0"/>
          <w:kern w:val="0"/>
          <w:sz w:val="24"/>
          <w:szCs w:val="30"/>
        </w:rPr>
        <w:t xml:space="preserve"> 年  月  日 </w:t>
      </w:r>
    </w:p>
    <w:p>
      <w:pPr>
        <w:pStyle w:val="2"/>
        <w:sectPr>
          <w:pgSz w:w="11906" w:h="16838"/>
          <w:pgMar w:top="1440" w:right="1800" w:bottom="1440" w:left="1800" w:header="851" w:footer="992" w:gutter="0"/>
          <w:cols w:space="425" w:num="1"/>
          <w:docGrid w:type="lines" w:linePitch="312" w:charSpace="0"/>
        </w:sectPr>
      </w:pPr>
    </w:p>
    <w:p>
      <w:pPr>
        <w:spacing w:before="100" w:beforeAutospacing="1" w:after="100" w:afterAutospacing="1" w:line="480" w:lineRule="exact"/>
        <w:jc w:val="center"/>
        <w:rPr>
          <w:rFonts w:asciiTheme="minorEastAsia" w:hAnsiTheme="minorEastAsia" w:eastAsiaTheme="minorEastAsia"/>
          <w:sz w:val="24"/>
          <w:szCs w:val="44"/>
        </w:rPr>
      </w:pPr>
      <w:r>
        <w:rPr>
          <w:rFonts w:asciiTheme="minorEastAsia" w:hAnsiTheme="minorEastAsia" w:eastAsiaTheme="minorEastAsia"/>
          <w:sz w:val="24"/>
          <w:szCs w:val="44"/>
        </w:rPr>
        <w:t>前   言</w:t>
      </w:r>
    </w:p>
    <w:p>
      <w:pPr>
        <w:spacing w:line="440" w:lineRule="exact"/>
        <w:ind w:firstLine="480" w:firstLineChars="200"/>
        <w:rPr>
          <w:color w:val="000000" w:themeColor="text1"/>
          <w:sz w:val="24"/>
          <w:szCs w:val="28"/>
          <w14:textFill>
            <w14:solidFill>
              <w14:schemeClr w14:val="tx1"/>
            </w14:solidFill>
          </w14:textFill>
        </w:rPr>
      </w:pPr>
      <w:r>
        <w:rPr>
          <w:rFonts w:hAnsi="宋体"/>
          <w:sz w:val="24"/>
          <w:szCs w:val="28"/>
        </w:rPr>
        <w:t>突发环境事件具有发生突然、扩散迅速、危害范围广的特点，污染物没有固定的排放方式和排放途径，事件对环境可能造成严重污染和破坏，给人民的生命和国家财产造成重大损失。为有效防范突发环境事件的发生，并及时、合理处置可能发生的各类突发环境事件，保障人民群众身心健康及正常生产、生活，依据《中华人民共和国环境保护法》、《中华人民共和国水污染防治法》、《中华人民共和国大气污染防治法》、《中华人民共和国突发事件应对法》、《国家突发环境事件应急预案》等法律法规相关规定和</w:t>
      </w:r>
      <w:r>
        <w:rPr>
          <w:rFonts w:hint="eastAsia" w:hAnsi="宋体"/>
          <w:color w:val="FF0000"/>
          <w:sz w:val="24"/>
          <w:szCs w:val="28"/>
        </w:rPr>
        <w:t>江西</w:t>
      </w:r>
      <w:r>
        <w:rPr>
          <w:rFonts w:hAnsi="宋体"/>
          <w:color w:val="FF0000"/>
          <w:sz w:val="24"/>
          <w:szCs w:val="28"/>
        </w:rPr>
        <w:t>省、</w:t>
      </w:r>
      <w:r>
        <w:rPr>
          <w:rFonts w:hint="eastAsia" w:hAnsi="宋体"/>
          <w:color w:val="FF0000"/>
          <w:sz w:val="24"/>
          <w:szCs w:val="28"/>
        </w:rPr>
        <w:t>南昌市</w:t>
      </w:r>
      <w:r>
        <w:rPr>
          <w:rFonts w:hAnsi="宋体"/>
          <w:color w:val="000000" w:themeColor="text1"/>
          <w:sz w:val="24"/>
          <w:szCs w:val="28"/>
          <w14:textFill>
            <w14:solidFill>
              <w14:schemeClr w14:val="tx1"/>
            </w14:solidFill>
          </w14:textFill>
        </w:rPr>
        <w:t>的有关要求，</w:t>
      </w:r>
      <w:r>
        <w:rPr>
          <w:rFonts w:hint="eastAsia" w:hAnsi="宋体"/>
          <w:color w:val="FF0000"/>
          <w:sz w:val="24"/>
          <w:lang w:eastAsia="zh-CN"/>
        </w:rPr>
        <w:t>中国石化销售股份有限公司江西南昌红谷滩石油分公司世纪星加油站</w:t>
      </w:r>
      <w:r>
        <w:rPr>
          <w:rFonts w:hAnsi="宋体"/>
          <w:color w:val="000000" w:themeColor="text1"/>
          <w:sz w:val="24"/>
          <w:szCs w:val="28"/>
          <w14:textFill>
            <w14:solidFill>
              <w14:schemeClr w14:val="tx1"/>
            </w14:solidFill>
          </w14:textFill>
        </w:rPr>
        <w:t>制定了《突发环境事件应急预案》。预案主要有突发环境事件预防、响应、应急、报告、处置等内容，重点加强可能导致突发环境事件的各个环节的日常管理和安全防范工作，严防各种突发环境事件的发生，规范和强化应对突发环境事件的应急处置工作，以预防发生为重点，逐步完善处置突发环境事件的预警、处置及善后工作机制，建立防范有力、指挥有序、快速高效和统一协调的突发环境事件应急处置体系。</w:t>
      </w:r>
    </w:p>
    <w:p>
      <w:pPr>
        <w:spacing w:line="440" w:lineRule="exact"/>
        <w:ind w:firstLine="480" w:firstLineChars="200"/>
        <w:rPr>
          <w:rFonts w:ascii="宋体" w:hAnsi="宋体"/>
          <w:sz w:val="28"/>
          <w:szCs w:val="28"/>
        </w:rPr>
        <w:sectPr>
          <w:footerReference r:id="rId4" w:type="default"/>
          <w:pgSz w:w="11906" w:h="16838"/>
          <w:pgMar w:top="1440" w:right="1800" w:bottom="1440" w:left="1800" w:header="851" w:footer="992" w:gutter="0"/>
          <w:cols w:space="425" w:num="1"/>
          <w:docGrid w:type="lines" w:linePitch="312" w:charSpace="0"/>
        </w:sectPr>
      </w:pPr>
      <w:r>
        <w:rPr>
          <w:rFonts w:hAnsi="宋体"/>
          <w:color w:val="000000" w:themeColor="text1"/>
          <w:sz w:val="24"/>
          <w:szCs w:val="28"/>
          <w14:textFill>
            <w14:solidFill>
              <w14:schemeClr w14:val="tx1"/>
            </w14:solidFill>
          </w14:textFill>
        </w:rPr>
        <w:t>该预案由</w:t>
      </w:r>
      <w:r>
        <w:rPr>
          <w:rFonts w:hint="eastAsia" w:hAnsi="宋体"/>
          <w:color w:val="FF0000"/>
          <w:sz w:val="24"/>
          <w:lang w:eastAsia="zh-CN"/>
        </w:rPr>
        <w:t>中国石化销售股份有限公司江西南昌红谷滩石油分公司世纪星加油站</w:t>
      </w:r>
      <w:r>
        <w:rPr>
          <w:rFonts w:hAnsi="宋体"/>
          <w:color w:val="000000" w:themeColor="text1"/>
          <w:sz w:val="24"/>
          <w:szCs w:val="28"/>
          <w14:textFill>
            <w14:solidFill>
              <w14:schemeClr w14:val="tx1"/>
            </w14:solidFill>
          </w14:textFill>
        </w:rPr>
        <w:t>制定，由法定代表人批准发布并实施</w:t>
      </w:r>
      <w:r>
        <w:rPr>
          <w:rFonts w:hint="eastAsia" w:ascii="宋体" w:hAnsi="宋体"/>
          <w:color w:val="000000" w:themeColor="text1"/>
          <w:sz w:val="28"/>
          <w:szCs w:val="28"/>
          <w14:textFill>
            <w14:solidFill>
              <w14:schemeClr w14:val="tx1"/>
            </w14:solidFill>
          </w14:textFill>
        </w:rPr>
        <w:t>。</w:t>
      </w:r>
    </w:p>
    <w:p>
      <w:pPr>
        <w:spacing w:line="500" w:lineRule="exact"/>
        <w:ind w:firstLine="560" w:firstLineChars="200"/>
        <w:rPr>
          <w:rFonts w:ascii="宋体" w:hAnsi="宋体"/>
          <w:sz w:val="28"/>
          <w:szCs w:val="28"/>
        </w:rPr>
      </w:pPr>
    </w:p>
    <w:p>
      <w:pPr>
        <w:spacing w:line="500" w:lineRule="exact"/>
        <w:ind w:firstLine="560" w:firstLineChars="200"/>
        <w:rPr>
          <w:rFonts w:ascii="宋体" w:hAnsi="宋体"/>
          <w:sz w:val="28"/>
          <w:szCs w:val="28"/>
        </w:rPr>
      </w:pPr>
    </w:p>
    <w:p>
      <w:pPr>
        <w:spacing w:line="500" w:lineRule="exact"/>
        <w:ind w:firstLine="560" w:firstLineChars="200"/>
        <w:rPr>
          <w:rFonts w:ascii="宋体" w:hAnsi="宋体"/>
          <w:sz w:val="28"/>
          <w:szCs w:val="28"/>
        </w:rPr>
        <w:sectPr>
          <w:pgSz w:w="11906" w:h="16838"/>
          <w:pgMar w:top="1440" w:right="1800" w:bottom="1440" w:left="1800" w:header="851" w:footer="992" w:gutter="0"/>
          <w:cols w:space="425" w:num="1"/>
          <w:docGrid w:type="lines" w:linePitch="312" w:charSpace="0"/>
        </w:sectPr>
      </w:pPr>
    </w:p>
    <w:p>
      <w:pPr>
        <w:pStyle w:val="62"/>
        <w:spacing w:before="156" w:beforeLines="50" w:after="156" w:afterLines="50" w:line="360" w:lineRule="exact"/>
        <w:jc w:val="center"/>
        <w:rPr>
          <w:rFonts w:ascii="Times New Roman" w:hAnsi="Times New Roman"/>
          <w:color w:val="000000"/>
          <w:sz w:val="24"/>
          <w:szCs w:val="24"/>
        </w:rPr>
      </w:pPr>
      <w:r>
        <w:rPr>
          <w:rFonts w:ascii="Times New Roman" w:hAnsi="Times New Roman"/>
          <w:color w:val="000000"/>
          <w:sz w:val="24"/>
          <w:szCs w:val="24"/>
          <w:lang w:val="zh-CN"/>
        </w:rPr>
        <w:t>目</w:t>
      </w:r>
      <w:r>
        <w:rPr>
          <w:rFonts w:hint="eastAsia" w:ascii="Times New Roman" w:hAnsi="Times New Roman"/>
          <w:color w:val="000000"/>
          <w:sz w:val="24"/>
          <w:szCs w:val="24"/>
          <w:lang w:val="en-US" w:eastAsia="zh-CN"/>
        </w:rPr>
        <w:t xml:space="preserve"> </w:t>
      </w:r>
      <w:r>
        <w:rPr>
          <w:rFonts w:ascii="Times New Roman" w:hAnsi="Times New Roman"/>
          <w:color w:val="000000"/>
          <w:sz w:val="24"/>
          <w:szCs w:val="24"/>
          <w:lang w:val="zh-CN"/>
        </w:rPr>
        <w:t>录</w:t>
      </w:r>
      <w:bookmarkStart w:id="581" w:name="_GoBack"/>
      <w:bookmarkEnd w:id="581"/>
    </w:p>
    <w:p>
      <w:pPr>
        <w:pStyle w:val="22"/>
        <w:spacing w:line="360" w:lineRule="exact"/>
        <w:rPr>
          <w:rFonts w:asciiTheme="minorHAnsi" w:hAnsiTheme="minorHAnsi" w:eastAsiaTheme="minorEastAsia" w:cstheme="minorBidi"/>
          <w:b w:val="0"/>
          <w:bCs w:val="0"/>
          <w:caps w:val="0"/>
          <w:snapToGrid/>
          <w:sz w:val="21"/>
          <w:szCs w:val="22"/>
        </w:rPr>
      </w:pPr>
      <w:r>
        <w:rPr>
          <w:szCs w:val="24"/>
        </w:rPr>
        <w:fldChar w:fldCharType="begin"/>
      </w:r>
      <w:r>
        <w:rPr>
          <w:szCs w:val="24"/>
        </w:rPr>
        <w:instrText xml:space="preserve"> TOC \o "1-3" \h \z \u </w:instrText>
      </w:r>
      <w:r>
        <w:rPr>
          <w:szCs w:val="24"/>
        </w:rPr>
        <w:fldChar w:fldCharType="separate"/>
      </w:r>
      <w:r>
        <w:fldChar w:fldCharType="begin"/>
      </w:r>
      <w:r>
        <w:instrText xml:space="preserve"> HYPERLINK \l "_Toc10105634" </w:instrText>
      </w:r>
      <w:r>
        <w:fldChar w:fldCharType="separate"/>
      </w:r>
      <w:r>
        <w:rPr>
          <w:rStyle w:val="38"/>
          <w:rFonts w:eastAsia="楷体"/>
          <w:spacing w:val="4"/>
          <w:kern w:val="0"/>
        </w:rPr>
        <w:t>1 总则</w:t>
      </w:r>
      <w:r>
        <w:tab/>
      </w:r>
      <w:r>
        <w:fldChar w:fldCharType="begin"/>
      </w:r>
      <w:r>
        <w:instrText xml:space="preserve"> PAGEREF _Toc10105634 \h </w:instrText>
      </w:r>
      <w:r>
        <w:fldChar w:fldCharType="separate"/>
      </w:r>
      <w:r>
        <w:t>1</w:t>
      </w:r>
      <w:r>
        <w:fldChar w:fldCharType="end"/>
      </w:r>
      <w:r>
        <w:fldChar w:fldCharType="end"/>
      </w:r>
    </w:p>
    <w:p>
      <w:pPr>
        <w:pStyle w:val="25"/>
        <w:tabs>
          <w:tab w:val="right" w:leader="dot" w:pos="8296"/>
        </w:tabs>
        <w:spacing w:line="360" w:lineRule="exact"/>
        <w:rPr>
          <w:rFonts w:asciiTheme="minorHAnsi" w:hAnsiTheme="minorHAnsi" w:eastAsiaTheme="minorEastAsia" w:cstheme="minorBidi"/>
          <w:szCs w:val="22"/>
        </w:rPr>
      </w:pPr>
      <w:r>
        <w:fldChar w:fldCharType="begin"/>
      </w:r>
      <w:r>
        <w:instrText xml:space="preserve"> HYPERLINK \l "_Toc10105635" </w:instrText>
      </w:r>
      <w:r>
        <w:fldChar w:fldCharType="separate"/>
      </w:r>
      <w:r>
        <w:rPr>
          <w:rStyle w:val="38"/>
          <w:rFonts w:eastAsia="黑体"/>
          <w:b/>
          <w:snapToGrid w:val="0"/>
          <w:spacing w:val="4"/>
          <w:kern w:val="0"/>
        </w:rPr>
        <w:t>1.1编制目的</w:t>
      </w:r>
      <w:r>
        <w:tab/>
      </w:r>
      <w:r>
        <w:fldChar w:fldCharType="begin"/>
      </w:r>
      <w:r>
        <w:instrText xml:space="preserve"> PAGEREF _Toc10105635 \h </w:instrText>
      </w:r>
      <w:r>
        <w:fldChar w:fldCharType="separate"/>
      </w:r>
      <w:r>
        <w:t>1</w:t>
      </w:r>
      <w:r>
        <w:fldChar w:fldCharType="end"/>
      </w:r>
      <w:r>
        <w:fldChar w:fldCharType="end"/>
      </w:r>
    </w:p>
    <w:p>
      <w:pPr>
        <w:pStyle w:val="25"/>
        <w:tabs>
          <w:tab w:val="right" w:leader="dot" w:pos="8296"/>
        </w:tabs>
        <w:spacing w:line="360" w:lineRule="exact"/>
        <w:rPr>
          <w:rFonts w:asciiTheme="minorHAnsi" w:hAnsiTheme="minorHAnsi" w:eastAsiaTheme="minorEastAsia" w:cstheme="minorBidi"/>
          <w:szCs w:val="22"/>
        </w:rPr>
      </w:pPr>
      <w:r>
        <w:fldChar w:fldCharType="begin"/>
      </w:r>
      <w:r>
        <w:instrText xml:space="preserve"> HYPERLINK \l "_Toc10105636" </w:instrText>
      </w:r>
      <w:r>
        <w:fldChar w:fldCharType="separate"/>
      </w:r>
      <w:r>
        <w:rPr>
          <w:rStyle w:val="38"/>
          <w:rFonts w:eastAsia="黑体"/>
          <w:b/>
          <w:snapToGrid w:val="0"/>
          <w:spacing w:val="4"/>
          <w:kern w:val="0"/>
        </w:rPr>
        <w:t>1.2编制依据</w:t>
      </w:r>
      <w:r>
        <w:tab/>
      </w:r>
      <w:r>
        <w:fldChar w:fldCharType="begin"/>
      </w:r>
      <w:r>
        <w:instrText xml:space="preserve"> PAGEREF _Toc10105636 \h </w:instrText>
      </w:r>
      <w:r>
        <w:fldChar w:fldCharType="separate"/>
      </w:r>
      <w:r>
        <w:t>1</w:t>
      </w:r>
      <w:r>
        <w:fldChar w:fldCharType="end"/>
      </w:r>
      <w:r>
        <w:fldChar w:fldCharType="end"/>
      </w:r>
    </w:p>
    <w:p>
      <w:pPr>
        <w:pStyle w:val="25"/>
        <w:tabs>
          <w:tab w:val="right" w:leader="dot" w:pos="8296"/>
        </w:tabs>
        <w:spacing w:line="360" w:lineRule="exact"/>
        <w:rPr>
          <w:rFonts w:asciiTheme="minorHAnsi" w:hAnsiTheme="minorHAnsi" w:eastAsiaTheme="minorEastAsia" w:cstheme="minorBidi"/>
          <w:szCs w:val="22"/>
        </w:rPr>
      </w:pPr>
      <w:r>
        <w:fldChar w:fldCharType="begin"/>
      </w:r>
      <w:r>
        <w:instrText xml:space="preserve"> HYPERLINK \l "_Toc10105637" </w:instrText>
      </w:r>
      <w:r>
        <w:fldChar w:fldCharType="separate"/>
      </w:r>
      <w:r>
        <w:rPr>
          <w:rStyle w:val="38"/>
          <w:rFonts w:eastAsia="黑体"/>
          <w:b/>
          <w:snapToGrid w:val="0"/>
          <w:spacing w:val="4"/>
          <w:kern w:val="0"/>
        </w:rPr>
        <w:t>1.3适用范围</w:t>
      </w:r>
      <w:r>
        <w:tab/>
      </w:r>
      <w:r>
        <w:fldChar w:fldCharType="begin"/>
      </w:r>
      <w:r>
        <w:instrText xml:space="preserve"> PAGEREF _Toc10105637 \h </w:instrText>
      </w:r>
      <w:r>
        <w:fldChar w:fldCharType="separate"/>
      </w:r>
      <w:r>
        <w:t>2</w:t>
      </w:r>
      <w:r>
        <w:fldChar w:fldCharType="end"/>
      </w:r>
      <w:r>
        <w:fldChar w:fldCharType="end"/>
      </w:r>
    </w:p>
    <w:p>
      <w:pPr>
        <w:pStyle w:val="25"/>
        <w:tabs>
          <w:tab w:val="right" w:leader="dot" w:pos="8296"/>
        </w:tabs>
        <w:spacing w:line="360" w:lineRule="exact"/>
        <w:rPr>
          <w:rFonts w:asciiTheme="minorHAnsi" w:hAnsiTheme="minorHAnsi" w:eastAsiaTheme="minorEastAsia" w:cstheme="minorBidi"/>
          <w:szCs w:val="22"/>
        </w:rPr>
      </w:pPr>
      <w:r>
        <w:fldChar w:fldCharType="begin"/>
      </w:r>
      <w:r>
        <w:instrText xml:space="preserve"> HYPERLINK \l "_Toc10105638" </w:instrText>
      </w:r>
      <w:r>
        <w:fldChar w:fldCharType="separate"/>
      </w:r>
      <w:r>
        <w:rPr>
          <w:rStyle w:val="38"/>
          <w:rFonts w:eastAsia="黑体"/>
          <w:b/>
          <w:snapToGrid w:val="0"/>
          <w:spacing w:val="4"/>
          <w:kern w:val="0"/>
        </w:rPr>
        <w:t>1.4预案体系</w:t>
      </w:r>
      <w:r>
        <w:tab/>
      </w:r>
      <w:r>
        <w:fldChar w:fldCharType="begin"/>
      </w:r>
      <w:r>
        <w:instrText xml:space="preserve"> PAGEREF _Toc10105638 \h </w:instrText>
      </w:r>
      <w:r>
        <w:fldChar w:fldCharType="separate"/>
      </w:r>
      <w:r>
        <w:t>2</w:t>
      </w:r>
      <w:r>
        <w:fldChar w:fldCharType="end"/>
      </w:r>
      <w:r>
        <w:fldChar w:fldCharType="end"/>
      </w:r>
    </w:p>
    <w:p>
      <w:pPr>
        <w:pStyle w:val="25"/>
        <w:tabs>
          <w:tab w:val="right" w:leader="dot" w:pos="8296"/>
        </w:tabs>
        <w:spacing w:line="360" w:lineRule="exact"/>
        <w:rPr>
          <w:rFonts w:asciiTheme="minorHAnsi" w:hAnsiTheme="minorHAnsi" w:eastAsiaTheme="minorEastAsia" w:cstheme="minorBidi"/>
          <w:szCs w:val="22"/>
        </w:rPr>
      </w:pPr>
      <w:r>
        <w:fldChar w:fldCharType="begin"/>
      </w:r>
      <w:r>
        <w:instrText xml:space="preserve"> HYPERLINK \l "_Toc10105639" </w:instrText>
      </w:r>
      <w:r>
        <w:fldChar w:fldCharType="separate"/>
      </w:r>
      <w:r>
        <w:rPr>
          <w:rStyle w:val="38"/>
          <w:rFonts w:eastAsia="黑体"/>
          <w:b/>
          <w:snapToGrid w:val="0"/>
          <w:spacing w:val="4"/>
          <w:kern w:val="0"/>
        </w:rPr>
        <w:t>1.5工作原则</w:t>
      </w:r>
      <w:r>
        <w:tab/>
      </w:r>
      <w:r>
        <w:fldChar w:fldCharType="begin"/>
      </w:r>
      <w:r>
        <w:instrText xml:space="preserve"> PAGEREF _Toc10105639 \h </w:instrText>
      </w:r>
      <w:r>
        <w:fldChar w:fldCharType="separate"/>
      </w:r>
      <w:r>
        <w:t>3</w:t>
      </w:r>
      <w:r>
        <w:fldChar w:fldCharType="end"/>
      </w:r>
      <w:r>
        <w:fldChar w:fldCharType="end"/>
      </w:r>
    </w:p>
    <w:p>
      <w:pPr>
        <w:pStyle w:val="22"/>
        <w:spacing w:line="360" w:lineRule="exact"/>
        <w:rPr>
          <w:rFonts w:asciiTheme="minorHAnsi" w:hAnsiTheme="minorHAnsi" w:eastAsiaTheme="minorEastAsia" w:cstheme="minorBidi"/>
          <w:b w:val="0"/>
          <w:bCs w:val="0"/>
          <w:caps w:val="0"/>
          <w:snapToGrid/>
          <w:sz w:val="21"/>
          <w:szCs w:val="22"/>
        </w:rPr>
      </w:pPr>
      <w:r>
        <w:fldChar w:fldCharType="begin"/>
      </w:r>
      <w:r>
        <w:instrText xml:space="preserve"> HYPERLINK \l "_Toc10105640" </w:instrText>
      </w:r>
      <w:r>
        <w:fldChar w:fldCharType="separate"/>
      </w:r>
      <w:r>
        <w:rPr>
          <w:rStyle w:val="38"/>
          <w:rFonts w:eastAsia="楷体"/>
          <w:spacing w:val="4"/>
          <w:kern w:val="0"/>
        </w:rPr>
        <w:t>2 企业基本情况</w:t>
      </w:r>
      <w:r>
        <w:tab/>
      </w:r>
      <w:r>
        <w:fldChar w:fldCharType="begin"/>
      </w:r>
      <w:r>
        <w:instrText xml:space="preserve"> PAGEREF _Toc10105640 \h </w:instrText>
      </w:r>
      <w:r>
        <w:fldChar w:fldCharType="separate"/>
      </w:r>
      <w:r>
        <w:t>4</w:t>
      </w:r>
      <w:r>
        <w:fldChar w:fldCharType="end"/>
      </w:r>
      <w:r>
        <w:fldChar w:fldCharType="end"/>
      </w:r>
    </w:p>
    <w:p>
      <w:pPr>
        <w:pStyle w:val="25"/>
        <w:tabs>
          <w:tab w:val="right" w:leader="dot" w:pos="8296"/>
        </w:tabs>
        <w:spacing w:line="360" w:lineRule="exact"/>
        <w:rPr>
          <w:rFonts w:asciiTheme="minorHAnsi" w:hAnsiTheme="minorHAnsi" w:eastAsiaTheme="minorEastAsia" w:cstheme="minorBidi"/>
          <w:szCs w:val="22"/>
        </w:rPr>
      </w:pPr>
      <w:r>
        <w:fldChar w:fldCharType="begin"/>
      </w:r>
      <w:r>
        <w:instrText xml:space="preserve"> HYPERLINK \l "_Toc10105641" </w:instrText>
      </w:r>
      <w:r>
        <w:fldChar w:fldCharType="separate"/>
      </w:r>
      <w:r>
        <w:rPr>
          <w:rStyle w:val="38"/>
          <w:rFonts w:eastAsia="黑体"/>
          <w:b/>
          <w:snapToGrid w:val="0"/>
          <w:spacing w:val="4"/>
          <w:kern w:val="0"/>
        </w:rPr>
        <w:t>2.1企业概况</w:t>
      </w:r>
      <w:r>
        <w:tab/>
      </w:r>
      <w:r>
        <w:fldChar w:fldCharType="begin"/>
      </w:r>
      <w:r>
        <w:instrText xml:space="preserve"> PAGEREF _Toc10105641 \h </w:instrText>
      </w:r>
      <w:r>
        <w:fldChar w:fldCharType="separate"/>
      </w:r>
      <w:r>
        <w:t>4</w:t>
      </w:r>
      <w:r>
        <w:fldChar w:fldCharType="end"/>
      </w:r>
      <w:r>
        <w:fldChar w:fldCharType="end"/>
      </w:r>
    </w:p>
    <w:p>
      <w:pPr>
        <w:pStyle w:val="25"/>
        <w:tabs>
          <w:tab w:val="right" w:leader="dot" w:pos="8296"/>
        </w:tabs>
        <w:spacing w:line="360" w:lineRule="exact"/>
        <w:rPr>
          <w:rFonts w:asciiTheme="minorHAnsi" w:hAnsiTheme="minorHAnsi" w:eastAsiaTheme="minorEastAsia" w:cstheme="minorBidi"/>
          <w:szCs w:val="22"/>
        </w:rPr>
      </w:pPr>
      <w:r>
        <w:fldChar w:fldCharType="begin"/>
      </w:r>
      <w:r>
        <w:instrText xml:space="preserve"> HYPERLINK \l "_Toc10105642" </w:instrText>
      </w:r>
      <w:r>
        <w:fldChar w:fldCharType="separate"/>
      </w:r>
      <w:r>
        <w:rPr>
          <w:rStyle w:val="38"/>
          <w:rFonts w:eastAsia="黑体"/>
          <w:b/>
          <w:snapToGrid w:val="0"/>
          <w:spacing w:val="4"/>
          <w:kern w:val="0"/>
        </w:rPr>
        <w:t>2.2 生产工艺及排污节点</w:t>
      </w:r>
      <w:r>
        <w:tab/>
      </w:r>
      <w:r>
        <w:fldChar w:fldCharType="begin"/>
      </w:r>
      <w:r>
        <w:instrText xml:space="preserve"> PAGEREF _Toc10105642 \h </w:instrText>
      </w:r>
      <w:r>
        <w:fldChar w:fldCharType="separate"/>
      </w:r>
      <w:r>
        <w:t>4</w:t>
      </w:r>
      <w:r>
        <w:fldChar w:fldCharType="end"/>
      </w:r>
      <w:r>
        <w:fldChar w:fldCharType="end"/>
      </w:r>
    </w:p>
    <w:p>
      <w:pPr>
        <w:pStyle w:val="25"/>
        <w:tabs>
          <w:tab w:val="right" w:leader="dot" w:pos="8296"/>
        </w:tabs>
        <w:spacing w:line="360" w:lineRule="exact"/>
        <w:rPr>
          <w:rFonts w:asciiTheme="minorHAnsi" w:hAnsiTheme="minorHAnsi" w:eastAsiaTheme="minorEastAsia" w:cstheme="minorBidi"/>
          <w:szCs w:val="22"/>
        </w:rPr>
      </w:pPr>
      <w:r>
        <w:fldChar w:fldCharType="begin"/>
      </w:r>
      <w:r>
        <w:instrText xml:space="preserve"> HYPERLINK \l "_Toc10105658" </w:instrText>
      </w:r>
      <w:r>
        <w:fldChar w:fldCharType="separate"/>
      </w:r>
      <w:r>
        <w:rPr>
          <w:rStyle w:val="38"/>
          <w:rFonts w:eastAsia="黑体"/>
          <w:b/>
          <w:snapToGrid w:val="0"/>
          <w:spacing w:val="4"/>
          <w:kern w:val="0"/>
        </w:rPr>
        <w:t>2.3 地理位置及气候情况</w:t>
      </w:r>
      <w:r>
        <w:tab/>
      </w:r>
      <w:r>
        <w:fldChar w:fldCharType="begin"/>
      </w:r>
      <w:r>
        <w:instrText xml:space="preserve"> PAGEREF _Toc10105658 \h </w:instrText>
      </w:r>
      <w:r>
        <w:fldChar w:fldCharType="separate"/>
      </w:r>
      <w:r>
        <w:t>4</w:t>
      </w:r>
      <w:r>
        <w:fldChar w:fldCharType="end"/>
      </w:r>
      <w:r>
        <w:fldChar w:fldCharType="end"/>
      </w:r>
    </w:p>
    <w:p>
      <w:pPr>
        <w:pStyle w:val="25"/>
        <w:tabs>
          <w:tab w:val="right" w:leader="dot" w:pos="8296"/>
        </w:tabs>
        <w:spacing w:line="360" w:lineRule="exact"/>
        <w:rPr>
          <w:rFonts w:asciiTheme="minorHAnsi" w:hAnsiTheme="minorHAnsi" w:eastAsiaTheme="minorEastAsia" w:cstheme="minorBidi"/>
          <w:szCs w:val="22"/>
        </w:rPr>
      </w:pPr>
      <w:r>
        <w:fldChar w:fldCharType="begin"/>
      </w:r>
      <w:r>
        <w:instrText xml:space="preserve"> HYPERLINK \l "_Toc10105664" </w:instrText>
      </w:r>
      <w:r>
        <w:fldChar w:fldCharType="separate"/>
      </w:r>
      <w:r>
        <w:rPr>
          <w:rStyle w:val="38"/>
          <w:rFonts w:eastAsia="黑体"/>
          <w:b/>
          <w:snapToGrid w:val="0"/>
          <w:spacing w:val="4"/>
          <w:kern w:val="0"/>
        </w:rPr>
        <w:t>2.4 环境功能区划及环境现状</w:t>
      </w:r>
      <w:r>
        <w:tab/>
      </w:r>
      <w:r>
        <w:fldChar w:fldCharType="begin"/>
      </w:r>
      <w:r>
        <w:instrText xml:space="preserve"> PAGEREF _Toc10105664 \h </w:instrText>
      </w:r>
      <w:r>
        <w:fldChar w:fldCharType="separate"/>
      </w:r>
      <w:r>
        <w:t>7</w:t>
      </w:r>
      <w:r>
        <w:fldChar w:fldCharType="end"/>
      </w:r>
      <w:r>
        <w:fldChar w:fldCharType="end"/>
      </w:r>
    </w:p>
    <w:p>
      <w:pPr>
        <w:pStyle w:val="25"/>
        <w:tabs>
          <w:tab w:val="right" w:leader="dot" w:pos="8296"/>
        </w:tabs>
        <w:spacing w:line="360" w:lineRule="exact"/>
        <w:rPr>
          <w:rFonts w:asciiTheme="minorHAnsi" w:hAnsiTheme="minorHAnsi" w:eastAsiaTheme="minorEastAsia" w:cstheme="minorBidi"/>
          <w:szCs w:val="22"/>
        </w:rPr>
      </w:pPr>
      <w:r>
        <w:fldChar w:fldCharType="begin"/>
      </w:r>
      <w:r>
        <w:instrText xml:space="preserve"> HYPERLINK \l "_Toc10105665" </w:instrText>
      </w:r>
      <w:r>
        <w:fldChar w:fldCharType="separate"/>
      </w:r>
      <w:r>
        <w:rPr>
          <w:rStyle w:val="38"/>
          <w:rFonts w:eastAsia="黑体"/>
          <w:b/>
          <w:snapToGrid w:val="0"/>
          <w:spacing w:val="4"/>
          <w:kern w:val="0"/>
        </w:rPr>
        <w:t>2.5 环境敏感点及保护目标</w:t>
      </w:r>
      <w:r>
        <w:tab/>
      </w:r>
      <w:r>
        <w:fldChar w:fldCharType="begin"/>
      </w:r>
      <w:r>
        <w:instrText xml:space="preserve"> PAGEREF _Toc10105665 \h </w:instrText>
      </w:r>
      <w:r>
        <w:fldChar w:fldCharType="separate"/>
      </w:r>
      <w:r>
        <w:t>7</w:t>
      </w:r>
      <w:r>
        <w:fldChar w:fldCharType="end"/>
      </w:r>
      <w:r>
        <w:fldChar w:fldCharType="end"/>
      </w:r>
    </w:p>
    <w:p>
      <w:pPr>
        <w:pStyle w:val="22"/>
        <w:spacing w:line="360" w:lineRule="exact"/>
        <w:rPr>
          <w:rFonts w:asciiTheme="minorHAnsi" w:hAnsiTheme="minorHAnsi" w:eastAsiaTheme="minorEastAsia" w:cstheme="minorBidi"/>
          <w:b w:val="0"/>
          <w:bCs w:val="0"/>
          <w:caps w:val="0"/>
          <w:snapToGrid/>
          <w:sz w:val="21"/>
          <w:szCs w:val="22"/>
        </w:rPr>
      </w:pPr>
      <w:r>
        <w:fldChar w:fldCharType="begin"/>
      </w:r>
      <w:r>
        <w:instrText xml:space="preserve"> HYPERLINK \l "_Toc10105668" </w:instrText>
      </w:r>
      <w:r>
        <w:fldChar w:fldCharType="separate"/>
      </w:r>
      <w:r>
        <w:rPr>
          <w:rStyle w:val="38"/>
          <w:rFonts w:eastAsia="楷体"/>
          <w:spacing w:val="4"/>
          <w:kern w:val="0"/>
        </w:rPr>
        <w:t>3 环境风险分析</w:t>
      </w:r>
      <w:r>
        <w:tab/>
      </w:r>
      <w:r>
        <w:fldChar w:fldCharType="begin"/>
      </w:r>
      <w:r>
        <w:instrText xml:space="preserve"> PAGEREF _Toc10105668 \h </w:instrText>
      </w:r>
      <w:r>
        <w:fldChar w:fldCharType="separate"/>
      </w:r>
      <w:r>
        <w:t>8</w:t>
      </w:r>
      <w:r>
        <w:fldChar w:fldCharType="end"/>
      </w:r>
      <w:r>
        <w:fldChar w:fldCharType="end"/>
      </w:r>
    </w:p>
    <w:p>
      <w:pPr>
        <w:pStyle w:val="25"/>
        <w:tabs>
          <w:tab w:val="right" w:leader="dot" w:pos="8296"/>
        </w:tabs>
        <w:spacing w:line="360" w:lineRule="exact"/>
        <w:rPr>
          <w:rFonts w:asciiTheme="minorHAnsi" w:hAnsiTheme="minorHAnsi" w:eastAsiaTheme="minorEastAsia" w:cstheme="minorBidi"/>
          <w:szCs w:val="22"/>
        </w:rPr>
      </w:pPr>
      <w:r>
        <w:fldChar w:fldCharType="begin"/>
      </w:r>
      <w:r>
        <w:instrText xml:space="preserve"> HYPERLINK \l "_Toc10105669" </w:instrText>
      </w:r>
      <w:r>
        <w:fldChar w:fldCharType="separate"/>
      </w:r>
      <w:r>
        <w:rPr>
          <w:rStyle w:val="38"/>
          <w:rFonts w:eastAsia="黑体"/>
          <w:b/>
          <w:snapToGrid w:val="0"/>
          <w:spacing w:val="4"/>
          <w:kern w:val="0"/>
        </w:rPr>
        <w:t>3.1环境风险源识别及危险性评估</w:t>
      </w:r>
      <w:r>
        <w:tab/>
      </w:r>
      <w:r>
        <w:fldChar w:fldCharType="begin"/>
      </w:r>
      <w:r>
        <w:instrText xml:space="preserve"> PAGEREF _Toc10105669 \h </w:instrText>
      </w:r>
      <w:r>
        <w:fldChar w:fldCharType="separate"/>
      </w:r>
      <w:r>
        <w:t>8</w:t>
      </w:r>
      <w:r>
        <w:fldChar w:fldCharType="end"/>
      </w:r>
      <w:r>
        <w:fldChar w:fldCharType="end"/>
      </w:r>
    </w:p>
    <w:p>
      <w:pPr>
        <w:pStyle w:val="25"/>
        <w:tabs>
          <w:tab w:val="right" w:leader="dot" w:pos="8296"/>
        </w:tabs>
        <w:spacing w:line="360" w:lineRule="exact"/>
        <w:rPr>
          <w:rFonts w:asciiTheme="minorHAnsi" w:hAnsiTheme="minorHAnsi" w:eastAsiaTheme="minorEastAsia" w:cstheme="minorBidi"/>
          <w:szCs w:val="22"/>
        </w:rPr>
      </w:pPr>
      <w:r>
        <w:fldChar w:fldCharType="begin"/>
      </w:r>
      <w:r>
        <w:instrText xml:space="preserve"> HYPERLINK \l "_Toc10105672" </w:instrText>
      </w:r>
      <w:r>
        <w:fldChar w:fldCharType="separate"/>
      </w:r>
      <w:r>
        <w:rPr>
          <w:rStyle w:val="38"/>
          <w:rFonts w:eastAsia="黑体"/>
          <w:b/>
          <w:snapToGrid w:val="0"/>
          <w:spacing w:val="4"/>
          <w:kern w:val="0"/>
        </w:rPr>
        <w:t>3.2环境风险目标确定</w:t>
      </w:r>
      <w:r>
        <w:tab/>
      </w:r>
      <w:r>
        <w:fldChar w:fldCharType="begin"/>
      </w:r>
      <w:r>
        <w:instrText xml:space="preserve"> PAGEREF _Toc10105672 \h </w:instrText>
      </w:r>
      <w:r>
        <w:fldChar w:fldCharType="separate"/>
      </w:r>
      <w:r>
        <w:t>9</w:t>
      </w:r>
      <w:r>
        <w:fldChar w:fldCharType="end"/>
      </w:r>
      <w:r>
        <w:fldChar w:fldCharType="end"/>
      </w:r>
    </w:p>
    <w:p>
      <w:pPr>
        <w:pStyle w:val="25"/>
        <w:tabs>
          <w:tab w:val="right" w:leader="dot" w:pos="8296"/>
        </w:tabs>
        <w:spacing w:line="360" w:lineRule="exact"/>
        <w:rPr>
          <w:rFonts w:asciiTheme="minorHAnsi" w:hAnsiTheme="minorHAnsi" w:eastAsiaTheme="minorEastAsia" w:cstheme="minorBidi"/>
          <w:szCs w:val="22"/>
        </w:rPr>
      </w:pPr>
      <w:r>
        <w:fldChar w:fldCharType="begin"/>
      </w:r>
      <w:r>
        <w:instrText xml:space="preserve"> HYPERLINK \l "_Toc10105673" </w:instrText>
      </w:r>
      <w:r>
        <w:fldChar w:fldCharType="separate"/>
      </w:r>
      <w:r>
        <w:rPr>
          <w:rStyle w:val="38"/>
          <w:rFonts w:eastAsia="黑体"/>
          <w:b/>
          <w:snapToGrid w:val="0"/>
          <w:spacing w:val="4"/>
          <w:kern w:val="0"/>
        </w:rPr>
        <w:t>3.3事故类型及影响分析</w:t>
      </w:r>
      <w:r>
        <w:tab/>
      </w:r>
      <w:r>
        <w:fldChar w:fldCharType="begin"/>
      </w:r>
      <w:r>
        <w:instrText xml:space="preserve"> PAGEREF _Toc10105673 \h </w:instrText>
      </w:r>
      <w:r>
        <w:fldChar w:fldCharType="separate"/>
      </w:r>
      <w:r>
        <w:t>10</w:t>
      </w:r>
      <w:r>
        <w:fldChar w:fldCharType="end"/>
      </w:r>
      <w:r>
        <w:fldChar w:fldCharType="end"/>
      </w:r>
    </w:p>
    <w:p>
      <w:pPr>
        <w:pStyle w:val="22"/>
        <w:spacing w:line="360" w:lineRule="exact"/>
        <w:rPr>
          <w:rFonts w:asciiTheme="minorHAnsi" w:hAnsiTheme="minorHAnsi" w:eastAsiaTheme="minorEastAsia" w:cstheme="minorBidi"/>
          <w:b w:val="0"/>
          <w:bCs w:val="0"/>
          <w:caps w:val="0"/>
          <w:snapToGrid/>
          <w:sz w:val="21"/>
          <w:szCs w:val="22"/>
        </w:rPr>
      </w:pPr>
      <w:r>
        <w:fldChar w:fldCharType="begin"/>
      </w:r>
      <w:r>
        <w:instrText xml:space="preserve"> HYPERLINK \l "_Toc10105674" </w:instrText>
      </w:r>
      <w:r>
        <w:fldChar w:fldCharType="separate"/>
      </w:r>
      <w:r>
        <w:rPr>
          <w:rStyle w:val="38"/>
          <w:rFonts w:eastAsia="楷体"/>
          <w:spacing w:val="4"/>
          <w:kern w:val="0"/>
        </w:rPr>
        <w:t>4 应急组织体系及职责</w:t>
      </w:r>
      <w:r>
        <w:tab/>
      </w:r>
      <w:r>
        <w:fldChar w:fldCharType="begin"/>
      </w:r>
      <w:r>
        <w:instrText xml:space="preserve"> PAGEREF _Toc10105674 \h </w:instrText>
      </w:r>
      <w:r>
        <w:fldChar w:fldCharType="separate"/>
      </w:r>
      <w:r>
        <w:t>11</w:t>
      </w:r>
      <w:r>
        <w:fldChar w:fldCharType="end"/>
      </w:r>
      <w:r>
        <w:fldChar w:fldCharType="end"/>
      </w:r>
    </w:p>
    <w:p>
      <w:pPr>
        <w:pStyle w:val="25"/>
        <w:tabs>
          <w:tab w:val="right" w:leader="dot" w:pos="8296"/>
        </w:tabs>
        <w:spacing w:line="360" w:lineRule="exact"/>
        <w:rPr>
          <w:rFonts w:asciiTheme="minorHAnsi" w:hAnsiTheme="minorHAnsi" w:eastAsiaTheme="minorEastAsia" w:cstheme="minorBidi"/>
          <w:szCs w:val="22"/>
        </w:rPr>
      </w:pPr>
      <w:r>
        <w:fldChar w:fldCharType="begin"/>
      </w:r>
      <w:r>
        <w:instrText xml:space="preserve"> HYPERLINK \l "_Toc10105675" </w:instrText>
      </w:r>
      <w:r>
        <w:fldChar w:fldCharType="separate"/>
      </w:r>
      <w:r>
        <w:rPr>
          <w:rStyle w:val="38"/>
          <w:rFonts w:eastAsia="黑体"/>
          <w:b/>
          <w:snapToGrid w:val="0"/>
          <w:spacing w:val="4"/>
          <w:kern w:val="0"/>
        </w:rPr>
        <w:t>4.1应急组织体系</w:t>
      </w:r>
      <w:r>
        <w:tab/>
      </w:r>
      <w:r>
        <w:fldChar w:fldCharType="begin"/>
      </w:r>
      <w:r>
        <w:instrText xml:space="preserve"> PAGEREF _Toc10105675 \h </w:instrText>
      </w:r>
      <w:r>
        <w:fldChar w:fldCharType="separate"/>
      </w:r>
      <w:r>
        <w:t>11</w:t>
      </w:r>
      <w:r>
        <w:fldChar w:fldCharType="end"/>
      </w:r>
      <w:r>
        <w:fldChar w:fldCharType="end"/>
      </w:r>
    </w:p>
    <w:p>
      <w:pPr>
        <w:pStyle w:val="25"/>
        <w:tabs>
          <w:tab w:val="right" w:leader="dot" w:pos="8296"/>
        </w:tabs>
        <w:spacing w:line="360" w:lineRule="exact"/>
        <w:rPr>
          <w:rFonts w:asciiTheme="minorHAnsi" w:hAnsiTheme="minorHAnsi" w:eastAsiaTheme="minorEastAsia" w:cstheme="minorBidi"/>
          <w:szCs w:val="22"/>
        </w:rPr>
      </w:pPr>
      <w:r>
        <w:fldChar w:fldCharType="begin"/>
      </w:r>
      <w:r>
        <w:instrText xml:space="preserve"> HYPERLINK \l "_Toc10105676" </w:instrText>
      </w:r>
      <w:r>
        <w:fldChar w:fldCharType="separate"/>
      </w:r>
      <w:r>
        <w:rPr>
          <w:rStyle w:val="38"/>
          <w:rFonts w:eastAsia="黑体"/>
          <w:b/>
          <w:snapToGrid w:val="0"/>
          <w:spacing w:val="4"/>
          <w:kern w:val="0"/>
        </w:rPr>
        <w:t>4.2机构及职责</w:t>
      </w:r>
      <w:r>
        <w:tab/>
      </w:r>
      <w:r>
        <w:fldChar w:fldCharType="begin"/>
      </w:r>
      <w:r>
        <w:instrText xml:space="preserve"> PAGEREF _Toc10105676 \h </w:instrText>
      </w:r>
      <w:r>
        <w:fldChar w:fldCharType="separate"/>
      </w:r>
      <w:r>
        <w:t>11</w:t>
      </w:r>
      <w:r>
        <w:fldChar w:fldCharType="end"/>
      </w:r>
      <w:r>
        <w:fldChar w:fldCharType="end"/>
      </w:r>
    </w:p>
    <w:p>
      <w:pPr>
        <w:pStyle w:val="22"/>
        <w:spacing w:line="360" w:lineRule="exact"/>
        <w:rPr>
          <w:rFonts w:asciiTheme="minorHAnsi" w:hAnsiTheme="minorHAnsi" w:eastAsiaTheme="minorEastAsia" w:cstheme="minorBidi"/>
          <w:b w:val="0"/>
          <w:bCs w:val="0"/>
          <w:caps w:val="0"/>
          <w:snapToGrid/>
          <w:sz w:val="21"/>
          <w:szCs w:val="22"/>
        </w:rPr>
      </w:pPr>
      <w:r>
        <w:fldChar w:fldCharType="begin"/>
      </w:r>
      <w:r>
        <w:instrText xml:space="preserve"> HYPERLINK \l "_Toc10105677" </w:instrText>
      </w:r>
      <w:r>
        <w:fldChar w:fldCharType="separate"/>
      </w:r>
      <w:r>
        <w:rPr>
          <w:rStyle w:val="38"/>
          <w:rFonts w:eastAsia="楷体"/>
          <w:spacing w:val="4"/>
          <w:kern w:val="0"/>
        </w:rPr>
        <w:t>5预防与预警</w:t>
      </w:r>
      <w:r>
        <w:tab/>
      </w:r>
      <w:r>
        <w:fldChar w:fldCharType="begin"/>
      </w:r>
      <w:r>
        <w:instrText xml:space="preserve"> PAGEREF _Toc10105677 \h </w:instrText>
      </w:r>
      <w:r>
        <w:fldChar w:fldCharType="separate"/>
      </w:r>
      <w:r>
        <w:t>14</w:t>
      </w:r>
      <w:r>
        <w:fldChar w:fldCharType="end"/>
      </w:r>
      <w:r>
        <w:fldChar w:fldCharType="end"/>
      </w:r>
    </w:p>
    <w:p>
      <w:pPr>
        <w:pStyle w:val="25"/>
        <w:tabs>
          <w:tab w:val="right" w:leader="dot" w:pos="8296"/>
        </w:tabs>
        <w:spacing w:line="360" w:lineRule="exact"/>
        <w:rPr>
          <w:rFonts w:asciiTheme="minorHAnsi" w:hAnsiTheme="minorHAnsi" w:eastAsiaTheme="minorEastAsia" w:cstheme="minorBidi"/>
          <w:szCs w:val="22"/>
        </w:rPr>
      </w:pPr>
      <w:r>
        <w:fldChar w:fldCharType="begin"/>
      </w:r>
      <w:r>
        <w:instrText xml:space="preserve"> HYPERLINK \l "_Toc10105678" </w:instrText>
      </w:r>
      <w:r>
        <w:fldChar w:fldCharType="separate"/>
      </w:r>
      <w:r>
        <w:rPr>
          <w:rStyle w:val="38"/>
          <w:rFonts w:eastAsia="黑体"/>
          <w:b/>
          <w:snapToGrid w:val="0"/>
          <w:spacing w:val="4"/>
          <w:kern w:val="0"/>
        </w:rPr>
        <w:t>5.1 风险源预防</w:t>
      </w:r>
      <w:r>
        <w:tab/>
      </w:r>
      <w:r>
        <w:fldChar w:fldCharType="begin"/>
      </w:r>
      <w:r>
        <w:instrText xml:space="preserve"> PAGEREF _Toc10105678 \h </w:instrText>
      </w:r>
      <w:r>
        <w:fldChar w:fldCharType="separate"/>
      </w:r>
      <w:r>
        <w:t>14</w:t>
      </w:r>
      <w:r>
        <w:fldChar w:fldCharType="end"/>
      </w:r>
      <w:r>
        <w:fldChar w:fldCharType="end"/>
      </w:r>
    </w:p>
    <w:p>
      <w:pPr>
        <w:pStyle w:val="25"/>
        <w:tabs>
          <w:tab w:val="right" w:leader="dot" w:pos="8296"/>
        </w:tabs>
        <w:spacing w:line="360" w:lineRule="exact"/>
        <w:rPr>
          <w:rFonts w:asciiTheme="minorHAnsi" w:hAnsiTheme="minorHAnsi" w:eastAsiaTheme="minorEastAsia" w:cstheme="minorBidi"/>
          <w:szCs w:val="22"/>
        </w:rPr>
      </w:pPr>
      <w:r>
        <w:fldChar w:fldCharType="begin"/>
      </w:r>
      <w:r>
        <w:instrText xml:space="preserve"> HYPERLINK \l "_Toc10105679" </w:instrText>
      </w:r>
      <w:r>
        <w:fldChar w:fldCharType="separate"/>
      </w:r>
      <w:r>
        <w:rPr>
          <w:rStyle w:val="38"/>
          <w:rFonts w:eastAsia="黑体"/>
          <w:b/>
          <w:snapToGrid w:val="0"/>
          <w:spacing w:val="4"/>
          <w:kern w:val="0"/>
        </w:rPr>
        <w:t>5.2风险源监控与预警</w:t>
      </w:r>
      <w:r>
        <w:tab/>
      </w:r>
      <w:r>
        <w:fldChar w:fldCharType="begin"/>
      </w:r>
      <w:r>
        <w:instrText xml:space="preserve"> PAGEREF _Toc10105679 \h </w:instrText>
      </w:r>
      <w:r>
        <w:fldChar w:fldCharType="separate"/>
      </w:r>
      <w:r>
        <w:t>15</w:t>
      </w:r>
      <w:r>
        <w:fldChar w:fldCharType="end"/>
      </w:r>
      <w:r>
        <w:fldChar w:fldCharType="end"/>
      </w:r>
    </w:p>
    <w:p>
      <w:pPr>
        <w:pStyle w:val="25"/>
        <w:tabs>
          <w:tab w:val="right" w:leader="dot" w:pos="8296"/>
        </w:tabs>
        <w:spacing w:line="360" w:lineRule="exact"/>
        <w:rPr>
          <w:rFonts w:asciiTheme="minorHAnsi" w:hAnsiTheme="minorHAnsi" w:eastAsiaTheme="minorEastAsia" w:cstheme="minorBidi"/>
          <w:szCs w:val="22"/>
        </w:rPr>
      </w:pPr>
      <w:r>
        <w:fldChar w:fldCharType="begin"/>
      </w:r>
      <w:r>
        <w:instrText xml:space="preserve"> HYPERLINK \l "_Toc10105680" </w:instrText>
      </w:r>
      <w:r>
        <w:fldChar w:fldCharType="separate"/>
      </w:r>
      <w:r>
        <w:rPr>
          <w:rStyle w:val="38"/>
          <w:rFonts w:eastAsia="黑体"/>
          <w:b/>
          <w:snapToGrid w:val="0"/>
          <w:spacing w:val="4"/>
          <w:kern w:val="0"/>
        </w:rPr>
        <w:t>5.3预警及响应措施</w:t>
      </w:r>
      <w:r>
        <w:tab/>
      </w:r>
      <w:r>
        <w:fldChar w:fldCharType="begin"/>
      </w:r>
      <w:r>
        <w:instrText xml:space="preserve"> PAGEREF _Toc10105680 \h </w:instrText>
      </w:r>
      <w:r>
        <w:fldChar w:fldCharType="separate"/>
      </w:r>
      <w:r>
        <w:t>15</w:t>
      </w:r>
      <w:r>
        <w:fldChar w:fldCharType="end"/>
      </w:r>
      <w:r>
        <w:fldChar w:fldCharType="end"/>
      </w:r>
    </w:p>
    <w:p>
      <w:pPr>
        <w:pStyle w:val="25"/>
        <w:tabs>
          <w:tab w:val="right" w:leader="dot" w:pos="8296"/>
        </w:tabs>
        <w:spacing w:line="360" w:lineRule="exact"/>
        <w:rPr>
          <w:rStyle w:val="38"/>
          <w:rFonts w:eastAsia="黑体"/>
          <w:b/>
          <w:snapToGrid w:val="0"/>
          <w:spacing w:val="4"/>
          <w:kern w:val="0"/>
        </w:rPr>
      </w:pPr>
      <w:r>
        <w:fldChar w:fldCharType="begin"/>
      </w:r>
      <w:r>
        <w:instrText xml:space="preserve"> HYPERLINK \l "_Toc10105684" </w:instrText>
      </w:r>
      <w:r>
        <w:fldChar w:fldCharType="separate"/>
      </w:r>
      <w:r>
        <w:rPr>
          <w:rStyle w:val="38"/>
          <w:rFonts w:eastAsia="黑体"/>
          <w:b/>
          <w:snapToGrid w:val="0"/>
          <w:spacing w:val="4"/>
          <w:kern w:val="0"/>
        </w:rPr>
        <w:t>5.4预警解除</w:t>
      </w:r>
      <w:r>
        <w:rPr>
          <w:rStyle w:val="38"/>
          <w:rFonts w:eastAsia="黑体"/>
          <w:bCs/>
          <w:snapToGrid w:val="0"/>
          <w:spacing w:val="4"/>
          <w:kern w:val="0"/>
        </w:rPr>
        <w:tab/>
      </w:r>
      <w:r>
        <w:rPr>
          <w:rStyle w:val="38"/>
          <w:rFonts w:eastAsia="黑体"/>
          <w:bCs/>
          <w:snapToGrid w:val="0"/>
          <w:spacing w:val="4"/>
          <w:kern w:val="0"/>
        </w:rPr>
        <w:fldChar w:fldCharType="begin"/>
      </w:r>
      <w:r>
        <w:rPr>
          <w:rStyle w:val="38"/>
          <w:rFonts w:eastAsia="黑体"/>
          <w:bCs/>
          <w:snapToGrid w:val="0"/>
          <w:spacing w:val="4"/>
          <w:kern w:val="0"/>
        </w:rPr>
        <w:instrText xml:space="preserve"> PAGEREF _Toc10105684 \h </w:instrText>
      </w:r>
      <w:r>
        <w:rPr>
          <w:rStyle w:val="38"/>
          <w:rFonts w:eastAsia="黑体"/>
          <w:bCs/>
          <w:snapToGrid w:val="0"/>
          <w:spacing w:val="4"/>
          <w:kern w:val="0"/>
        </w:rPr>
        <w:fldChar w:fldCharType="separate"/>
      </w:r>
      <w:r>
        <w:rPr>
          <w:rStyle w:val="38"/>
          <w:rFonts w:eastAsia="黑体"/>
          <w:bCs/>
          <w:snapToGrid w:val="0"/>
          <w:spacing w:val="4"/>
          <w:kern w:val="0"/>
        </w:rPr>
        <w:t>16</w:t>
      </w:r>
      <w:r>
        <w:rPr>
          <w:rStyle w:val="38"/>
          <w:rFonts w:eastAsia="黑体"/>
          <w:bCs/>
          <w:snapToGrid w:val="0"/>
          <w:spacing w:val="4"/>
          <w:kern w:val="0"/>
        </w:rPr>
        <w:fldChar w:fldCharType="end"/>
      </w:r>
      <w:r>
        <w:rPr>
          <w:rStyle w:val="38"/>
          <w:rFonts w:eastAsia="黑体"/>
          <w:bCs/>
          <w:snapToGrid w:val="0"/>
          <w:spacing w:val="4"/>
          <w:kern w:val="0"/>
        </w:rPr>
        <w:fldChar w:fldCharType="end"/>
      </w:r>
    </w:p>
    <w:p>
      <w:pPr>
        <w:pStyle w:val="22"/>
        <w:spacing w:line="360" w:lineRule="exact"/>
        <w:rPr>
          <w:rFonts w:asciiTheme="minorHAnsi" w:hAnsiTheme="minorHAnsi" w:eastAsiaTheme="minorEastAsia" w:cstheme="minorBidi"/>
          <w:b w:val="0"/>
          <w:bCs w:val="0"/>
          <w:caps w:val="0"/>
          <w:snapToGrid/>
          <w:sz w:val="21"/>
          <w:szCs w:val="22"/>
        </w:rPr>
      </w:pPr>
      <w:r>
        <w:fldChar w:fldCharType="begin"/>
      </w:r>
      <w:r>
        <w:instrText xml:space="preserve"> HYPERLINK \l "_Toc10105685" </w:instrText>
      </w:r>
      <w:r>
        <w:fldChar w:fldCharType="separate"/>
      </w:r>
      <w:r>
        <w:rPr>
          <w:rStyle w:val="38"/>
          <w:rFonts w:eastAsia="楷体"/>
          <w:spacing w:val="4"/>
          <w:kern w:val="0"/>
        </w:rPr>
        <w:t>6应急响应</w:t>
      </w:r>
      <w:r>
        <w:tab/>
      </w:r>
      <w:r>
        <w:fldChar w:fldCharType="begin"/>
      </w:r>
      <w:r>
        <w:instrText xml:space="preserve"> PAGEREF _Toc10105685 \h </w:instrText>
      </w:r>
      <w:r>
        <w:fldChar w:fldCharType="separate"/>
      </w:r>
      <w:r>
        <w:t>17</w:t>
      </w:r>
      <w:r>
        <w:fldChar w:fldCharType="end"/>
      </w:r>
      <w:r>
        <w:fldChar w:fldCharType="end"/>
      </w:r>
    </w:p>
    <w:p>
      <w:pPr>
        <w:pStyle w:val="25"/>
        <w:tabs>
          <w:tab w:val="right" w:leader="dot" w:pos="8296"/>
        </w:tabs>
        <w:spacing w:line="360" w:lineRule="exact"/>
        <w:rPr>
          <w:rFonts w:asciiTheme="minorHAnsi" w:hAnsiTheme="minorHAnsi" w:eastAsiaTheme="minorEastAsia" w:cstheme="minorBidi"/>
          <w:szCs w:val="22"/>
        </w:rPr>
      </w:pPr>
      <w:r>
        <w:fldChar w:fldCharType="begin"/>
      </w:r>
      <w:r>
        <w:instrText xml:space="preserve"> HYPERLINK \l "_Toc10105686" </w:instrText>
      </w:r>
      <w:r>
        <w:fldChar w:fldCharType="separate"/>
      </w:r>
      <w:r>
        <w:rPr>
          <w:rStyle w:val="38"/>
          <w:rFonts w:eastAsia="黑体"/>
          <w:b/>
          <w:snapToGrid w:val="0"/>
          <w:spacing w:val="4"/>
          <w:kern w:val="0"/>
        </w:rPr>
        <w:t>6.1分级响应机制</w:t>
      </w:r>
      <w:r>
        <w:tab/>
      </w:r>
      <w:r>
        <w:fldChar w:fldCharType="begin"/>
      </w:r>
      <w:r>
        <w:instrText xml:space="preserve"> PAGEREF _Toc10105686 \h </w:instrText>
      </w:r>
      <w:r>
        <w:fldChar w:fldCharType="separate"/>
      </w:r>
      <w:r>
        <w:t>17</w:t>
      </w:r>
      <w:r>
        <w:fldChar w:fldCharType="end"/>
      </w:r>
      <w:r>
        <w:fldChar w:fldCharType="end"/>
      </w:r>
    </w:p>
    <w:p>
      <w:pPr>
        <w:pStyle w:val="25"/>
        <w:tabs>
          <w:tab w:val="right" w:leader="dot" w:pos="8296"/>
        </w:tabs>
        <w:spacing w:line="360" w:lineRule="exact"/>
        <w:rPr>
          <w:rFonts w:asciiTheme="minorHAnsi" w:hAnsiTheme="minorHAnsi" w:eastAsiaTheme="minorEastAsia" w:cstheme="minorBidi"/>
          <w:szCs w:val="22"/>
        </w:rPr>
      </w:pPr>
      <w:r>
        <w:fldChar w:fldCharType="begin"/>
      </w:r>
      <w:r>
        <w:instrText xml:space="preserve"> HYPERLINK \l "_Toc10105687" </w:instrText>
      </w:r>
      <w:r>
        <w:fldChar w:fldCharType="separate"/>
      </w:r>
      <w:r>
        <w:rPr>
          <w:rStyle w:val="38"/>
          <w:rFonts w:eastAsia="黑体"/>
          <w:b/>
          <w:snapToGrid w:val="0"/>
          <w:spacing w:val="4"/>
          <w:kern w:val="0"/>
        </w:rPr>
        <w:t>6.2应急响应流程</w:t>
      </w:r>
      <w:r>
        <w:tab/>
      </w:r>
      <w:r>
        <w:fldChar w:fldCharType="begin"/>
      </w:r>
      <w:r>
        <w:instrText xml:space="preserve"> PAGEREF _Toc10105687 \h </w:instrText>
      </w:r>
      <w:r>
        <w:fldChar w:fldCharType="separate"/>
      </w:r>
      <w:r>
        <w:t>18</w:t>
      </w:r>
      <w:r>
        <w:fldChar w:fldCharType="end"/>
      </w:r>
      <w:r>
        <w:fldChar w:fldCharType="end"/>
      </w:r>
    </w:p>
    <w:p>
      <w:pPr>
        <w:pStyle w:val="22"/>
        <w:spacing w:line="360" w:lineRule="exact"/>
        <w:rPr>
          <w:rFonts w:asciiTheme="minorHAnsi" w:hAnsiTheme="minorHAnsi" w:eastAsiaTheme="minorEastAsia" w:cstheme="minorBidi"/>
          <w:b w:val="0"/>
          <w:bCs w:val="0"/>
          <w:caps w:val="0"/>
          <w:snapToGrid/>
          <w:sz w:val="21"/>
          <w:szCs w:val="22"/>
        </w:rPr>
      </w:pPr>
      <w:r>
        <w:fldChar w:fldCharType="begin"/>
      </w:r>
      <w:r>
        <w:instrText xml:space="preserve"> HYPERLINK \l "_Toc10105688" </w:instrText>
      </w:r>
      <w:r>
        <w:fldChar w:fldCharType="separate"/>
      </w:r>
      <w:r>
        <w:rPr>
          <w:rStyle w:val="38"/>
          <w:rFonts w:eastAsia="楷体"/>
          <w:spacing w:val="4"/>
          <w:kern w:val="0"/>
        </w:rPr>
        <w:t>7应急处置</w:t>
      </w:r>
      <w:r>
        <w:tab/>
      </w:r>
      <w:r>
        <w:fldChar w:fldCharType="begin"/>
      </w:r>
      <w:r>
        <w:instrText xml:space="preserve"> PAGEREF _Toc10105688 \h </w:instrText>
      </w:r>
      <w:r>
        <w:fldChar w:fldCharType="separate"/>
      </w:r>
      <w:r>
        <w:t>19</w:t>
      </w:r>
      <w:r>
        <w:fldChar w:fldCharType="end"/>
      </w:r>
      <w:r>
        <w:fldChar w:fldCharType="end"/>
      </w:r>
    </w:p>
    <w:p>
      <w:pPr>
        <w:pStyle w:val="25"/>
        <w:tabs>
          <w:tab w:val="right" w:leader="dot" w:pos="8296"/>
        </w:tabs>
        <w:spacing w:line="360" w:lineRule="exact"/>
        <w:rPr>
          <w:rFonts w:asciiTheme="minorHAnsi" w:hAnsiTheme="minorHAnsi" w:eastAsiaTheme="minorEastAsia" w:cstheme="minorBidi"/>
          <w:szCs w:val="22"/>
        </w:rPr>
      </w:pPr>
      <w:r>
        <w:fldChar w:fldCharType="begin"/>
      </w:r>
      <w:r>
        <w:instrText xml:space="preserve"> HYPERLINK \l "_Toc10105689" </w:instrText>
      </w:r>
      <w:r>
        <w:fldChar w:fldCharType="separate"/>
      </w:r>
      <w:r>
        <w:rPr>
          <w:rStyle w:val="38"/>
          <w:rFonts w:eastAsia="黑体"/>
          <w:b/>
          <w:snapToGrid w:val="0"/>
          <w:spacing w:val="4"/>
          <w:kern w:val="0"/>
        </w:rPr>
        <w:t>7.1处置原则</w:t>
      </w:r>
      <w:r>
        <w:tab/>
      </w:r>
      <w:r>
        <w:fldChar w:fldCharType="begin"/>
      </w:r>
      <w:r>
        <w:instrText xml:space="preserve"> PAGEREF _Toc10105689 \h </w:instrText>
      </w:r>
      <w:r>
        <w:fldChar w:fldCharType="separate"/>
      </w:r>
      <w:r>
        <w:t>19</w:t>
      </w:r>
      <w:r>
        <w:fldChar w:fldCharType="end"/>
      </w:r>
      <w:r>
        <w:fldChar w:fldCharType="end"/>
      </w:r>
    </w:p>
    <w:p>
      <w:pPr>
        <w:pStyle w:val="25"/>
        <w:tabs>
          <w:tab w:val="right" w:leader="dot" w:pos="8296"/>
        </w:tabs>
        <w:spacing w:line="360" w:lineRule="exact"/>
        <w:rPr>
          <w:rFonts w:asciiTheme="minorHAnsi" w:hAnsiTheme="minorHAnsi" w:eastAsiaTheme="minorEastAsia" w:cstheme="minorBidi"/>
          <w:szCs w:val="22"/>
        </w:rPr>
      </w:pPr>
      <w:r>
        <w:fldChar w:fldCharType="begin"/>
      </w:r>
      <w:r>
        <w:instrText xml:space="preserve"> HYPERLINK \l "_Toc10105690" </w:instrText>
      </w:r>
      <w:r>
        <w:fldChar w:fldCharType="separate"/>
      </w:r>
      <w:r>
        <w:rPr>
          <w:rStyle w:val="38"/>
          <w:rFonts w:eastAsia="黑体"/>
          <w:b/>
          <w:snapToGrid w:val="0"/>
          <w:spacing w:val="4"/>
          <w:kern w:val="0"/>
        </w:rPr>
        <w:t>7.2环境目标优先保护次序</w:t>
      </w:r>
      <w:r>
        <w:tab/>
      </w:r>
      <w:r>
        <w:fldChar w:fldCharType="begin"/>
      </w:r>
      <w:r>
        <w:instrText xml:space="preserve"> PAGEREF _Toc10105690 \h </w:instrText>
      </w:r>
      <w:r>
        <w:fldChar w:fldCharType="separate"/>
      </w:r>
      <w:r>
        <w:t>19</w:t>
      </w:r>
      <w:r>
        <w:fldChar w:fldCharType="end"/>
      </w:r>
      <w:r>
        <w:fldChar w:fldCharType="end"/>
      </w:r>
    </w:p>
    <w:p>
      <w:pPr>
        <w:pStyle w:val="25"/>
        <w:tabs>
          <w:tab w:val="right" w:leader="dot" w:pos="8296"/>
        </w:tabs>
        <w:spacing w:line="360" w:lineRule="exact"/>
        <w:rPr>
          <w:rFonts w:asciiTheme="minorHAnsi" w:hAnsiTheme="minorHAnsi" w:eastAsiaTheme="minorEastAsia" w:cstheme="minorBidi"/>
          <w:szCs w:val="22"/>
        </w:rPr>
      </w:pPr>
      <w:r>
        <w:fldChar w:fldCharType="begin"/>
      </w:r>
      <w:r>
        <w:instrText xml:space="preserve"> HYPERLINK \l "_Toc10105691" </w:instrText>
      </w:r>
      <w:r>
        <w:fldChar w:fldCharType="separate"/>
      </w:r>
      <w:r>
        <w:rPr>
          <w:rStyle w:val="38"/>
          <w:rFonts w:eastAsia="黑体"/>
          <w:b/>
          <w:snapToGrid w:val="0"/>
          <w:spacing w:val="4"/>
          <w:kern w:val="0"/>
        </w:rPr>
        <w:t>7.3现场处置措施</w:t>
      </w:r>
      <w:r>
        <w:tab/>
      </w:r>
      <w:r>
        <w:fldChar w:fldCharType="begin"/>
      </w:r>
      <w:r>
        <w:instrText xml:space="preserve"> PAGEREF _Toc10105691 \h </w:instrText>
      </w:r>
      <w:r>
        <w:fldChar w:fldCharType="separate"/>
      </w:r>
      <w:r>
        <w:t>19</w:t>
      </w:r>
      <w:r>
        <w:fldChar w:fldCharType="end"/>
      </w:r>
      <w:r>
        <w:fldChar w:fldCharType="end"/>
      </w:r>
    </w:p>
    <w:p>
      <w:pPr>
        <w:pStyle w:val="25"/>
        <w:tabs>
          <w:tab w:val="right" w:leader="dot" w:pos="8296"/>
        </w:tabs>
        <w:spacing w:line="360" w:lineRule="exact"/>
        <w:rPr>
          <w:rStyle w:val="38"/>
          <w:rFonts w:eastAsia="黑体"/>
          <w:b/>
          <w:snapToGrid w:val="0"/>
          <w:spacing w:val="4"/>
          <w:kern w:val="0"/>
        </w:rPr>
      </w:pPr>
      <w:r>
        <w:fldChar w:fldCharType="begin"/>
      </w:r>
      <w:r>
        <w:instrText xml:space="preserve"> HYPERLINK \l "_Toc10105695" </w:instrText>
      </w:r>
      <w:r>
        <w:fldChar w:fldCharType="separate"/>
      </w:r>
      <w:r>
        <w:rPr>
          <w:rStyle w:val="38"/>
          <w:rFonts w:eastAsia="黑体"/>
          <w:b/>
          <w:snapToGrid w:val="0"/>
          <w:spacing w:val="4"/>
          <w:kern w:val="0"/>
        </w:rPr>
        <w:t>7.4应急疏散</w:t>
      </w:r>
      <w:r>
        <w:rPr>
          <w:rStyle w:val="38"/>
          <w:rFonts w:eastAsia="黑体"/>
          <w:bCs/>
          <w:snapToGrid w:val="0"/>
          <w:spacing w:val="4"/>
          <w:kern w:val="0"/>
        </w:rPr>
        <w:tab/>
      </w:r>
      <w:r>
        <w:rPr>
          <w:rStyle w:val="38"/>
          <w:rFonts w:eastAsia="黑体"/>
          <w:bCs/>
          <w:snapToGrid w:val="0"/>
          <w:spacing w:val="4"/>
          <w:kern w:val="0"/>
        </w:rPr>
        <w:fldChar w:fldCharType="begin"/>
      </w:r>
      <w:r>
        <w:rPr>
          <w:rStyle w:val="38"/>
          <w:rFonts w:eastAsia="黑体"/>
          <w:bCs/>
          <w:snapToGrid w:val="0"/>
          <w:spacing w:val="4"/>
          <w:kern w:val="0"/>
        </w:rPr>
        <w:instrText xml:space="preserve"> PAGEREF _Toc10105695 \h </w:instrText>
      </w:r>
      <w:r>
        <w:rPr>
          <w:rStyle w:val="38"/>
          <w:rFonts w:eastAsia="黑体"/>
          <w:bCs/>
          <w:snapToGrid w:val="0"/>
          <w:spacing w:val="4"/>
          <w:kern w:val="0"/>
        </w:rPr>
        <w:fldChar w:fldCharType="separate"/>
      </w:r>
      <w:r>
        <w:rPr>
          <w:rStyle w:val="38"/>
          <w:rFonts w:eastAsia="黑体"/>
          <w:bCs/>
          <w:snapToGrid w:val="0"/>
          <w:spacing w:val="4"/>
          <w:kern w:val="0"/>
        </w:rPr>
        <w:t>22</w:t>
      </w:r>
      <w:r>
        <w:rPr>
          <w:rStyle w:val="38"/>
          <w:rFonts w:eastAsia="黑体"/>
          <w:bCs/>
          <w:snapToGrid w:val="0"/>
          <w:spacing w:val="4"/>
          <w:kern w:val="0"/>
        </w:rPr>
        <w:fldChar w:fldCharType="end"/>
      </w:r>
      <w:r>
        <w:rPr>
          <w:rStyle w:val="38"/>
          <w:rFonts w:eastAsia="黑体"/>
          <w:bCs/>
          <w:snapToGrid w:val="0"/>
          <w:spacing w:val="4"/>
          <w:kern w:val="0"/>
        </w:rPr>
        <w:fldChar w:fldCharType="end"/>
      </w:r>
    </w:p>
    <w:p>
      <w:pPr>
        <w:pStyle w:val="25"/>
        <w:tabs>
          <w:tab w:val="right" w:leader="dot" w:pos="8296"/>
        </w:tabs>
        <w:spacing w:line="360" w:lineRule="exact"/>
        <w:rPr>
          <w:rFonts w:asciiTheme="minorHAnsi" w:hAnsiTheme="minorHAnsi" w:eastAsiaTheme="minorEastAsia" w:cstheme="minorBidi"/>
          <w:szCs w:val="22"/>
        </w:rPr>
      </w:pPr>
      <w:r>
        <w:fldChar w:fldCharType="begin"/>
      </w:r>
      <w:r>
        <w:instrText xml:space="preserve"> HYPERLINK \l "_Toc10105698" </w:instrText>
      </w:r>
      <w:r>
        <w:fldChar w:fldCharType="separate"/>
      </w:r>
      <w:r>
        <w:rPr>
          <w:rStyle w:val="38"/>
          <w:rFonts w:eastAsia="黑体"/>
          <w:b/>
          <w:snapToGrid w:val="0"/>
          <w:spacing w:val="4"/>
          <w:kern w:val="0"/>
        </w:rPr>
        <w:t>7.5应急监测</w:t>
      </w:r>
      <w:r>
        <w:tab/>
      </w:r>
      <w:r>
        <w:fldChar w:fldCharType="begin"/>
      </w:r>
      <w:r>
        <w:instrText xml:space="preserve"> PAGEREF _Toc10105698 \h </w:instrText>
      </w:r>
      <w:r>
        <w:fldChar w:fldCharType="separate"/>
      </w:r>
      <w:r>
        <w:t>22</w:t>
      </w:r>
      <w:r>
        <w:fldChar w:fldCharType="end"/>
      </w:r>
      <w:r>
        <w:fldChar w:fldCharType="end"/>
      </w:r>
    </w:p>
    <w:p>
      <w:pPr>
        <w:pStyle w:val="22"/>
        <w:spacing w:line="360" w:lineRule="exact"/>
        <w:rPr>
          <w:rFonts w:asciiTheme="minorHAnsi" w:hAnsiTheme="minorHAnsi" w:eastAsiaTheme="minorEastAsia" w:cstheme="minorBidi"/>
          <w:b w:val="0"/>
          <w:bCs w:val="0"/>
          <w:caps w:val="0"/>
          <w:snapToGrid/>
          <w:sz w:val="21"/>
          <w:szCs w:val="22"/>
        </w:rPr>
      </w:pPr>
      <w:r>
        <w:fldChar w:fldCharType="begin"/>
      </w:r>
      <w:r>
        <w:instrText xml:space="preserve"> HYPERLINK \l "_Toc10105703" </w:instrText>
      </w:r>
      <w:r>
        <w:fldChar w:fldCharType="separate"/>
      </w:r>
      <w:r>
        <w:rPr>
          <w:rStyle w:val="38"/>
          <w:rFonts w:eastAsia="楷体"/>
          <w:spacing w:val="4"/>
          <w:kern w:val="0"/>
        </w:rPr>
        <w:t>8应急终止</w:t>
      </w:r>
      <w:r>
        <w:tab/>
      </w:r>
      <w:r>
        <w:fldChar w:fldCharType="begin"/>
      </w:r>
      <w:r>
        <w:instrText xml:space="preserve"> PAGEREF _Toc10105703 \h </w:instrText>
      </w:r>
      <w:r>
        <w:fldChar w:fldCharType="separate"/>
      </w:r>
      <w:r>
        <w:t>25</w:t>
      </w:r>
      <w:r>
        <w:fldChar w:fldCharType="end"/>
      </w:r>
      <w:r>
        <w:fldChar w:fldCharType="end"/>
      </w:r>
    </w:p>
    <w:p>
      <w:pPr>
        <w:pStyle w:val="25"/>
        <w:tabs>
          <w:tab w:val="right" w:leader="dot" w:pos="8296"/>
        </w:tabs>
        <w:spacing w:line="360" w:lineRule="exact"/>
        <w:rPr>
          <w:rFonts w:asciiTheme="minorHAnsi" w:hAnsiTheme="minorHAnsi" w:eastAsiaTheme="minorEastAsia" w:cstheme="minorBidi"/>
          <w:szCs w:val="22"/>
        </w:rPr>
      </w:pPr>
      <w:r>
        <w:fldChar w:fldCharType="begin"/>
      </w:r>
      <w:r>
        <w:instrText xml:space="preserve"> HYPERLINK \l "_Toc10105704" </w:instrText>
      </w:r>
      <w:r>
        <w:fldChar w:fldCharType="separate"/>
      </w:r>
      <w:r>
        <w:rPr>
          <w:rStyle w:val="38"/>
          <w:rFonts w:eastAsia="黑体"/>
          <w:b/>
          <w:snapToGrid w:val="0"/>
          <w:spacing w:val="4"/>
          <w:kern w:val="0"/>
        </w:rPr>
        <w:t>8.1应急终止的条件</w:t>
      </w:r>
      <w:r>
        <w:tab/>
      </w:r>
      <w:r>
        <w:fldChar w:fldCharType="begin"/>
      </w:r>
      <w:r>
        <w:instrText xml:space="preserve"> PAGEREF _Toc10105704 \h </w:instrText>
      </w:r>
      <w:r>
        <w:fldChar w:fldCharType="separate"/>
      </w:r>
      <w:r>
        <w:t>25</w:t>
      </w:r>
      <w:r>
        <w:fldChar w:fldCharType="end"/>
      </w:r>
      <w:r>
        <w:fldChar w:fldCharType="end"/>
      </w:r>
    </w:p>
    <w:p>
      <w:pPr>
        <w:pStyle w:val="25"/>
        <w:tabs>
          <w:tab w:val="right" w:leader="dot" w:pos="8296"/>
        </w:tabs>
        <w:spacing w:line="360" w:lineRule="exact"/>
        <w:rPr>
          <w:rFonts w:asciiTheme="minorHAnsi" w:hAnsiTheme="minorHAnsi" w:eastAsiaTheme="minorEastAsia" w:cstheme="minorBidi"/>
          <w:szCs w:val="22"/>
        </w:rPr>
      </w:pPr>
      <w:r>
        <w:fldChar w:fldCharType="begin"/>
      </w:r>
      <w:r>
        <w:instrText xml:space="preserve"> HYPERLINK \l "_Toc10105705" </w:instrText>
      </w:r>
      <w:r>
        <w:fldChar w:fldCharType="separate"/>
      </w:r>
      <w:r>
        <w:rPr>
          <w:rStyle w:val="38"/>
          <w:rFonts w:eastAsia="黑体"/>
          <w:b/>
          <w:snapToGrid w:val="0"/>
          <w:spacing w:val="4"/>
          <w:kern w:val="0"/>
        </w:rPr>
        <w:t>8.2应急终止的程序</w:t>
      </w:r>
      <w:r>
        <w:tab/>
      </w:r>
      <w:r>
        <w:fldChar w:fldCharType="begin"/>
      </w:r>
      <w:r>
        <w:instrText xml:space="preserve"> PAGEREF _Toc10105705 \h </w:instrText>
      </w:r>
      <w:r>
        <w:fldChar w:fldCharType="separate"/>
      </w:r>
      <w:r>
        <w:t>25</w:t>
      </w:r>
      <w:r>
        <w:fldChar w:fldCharType="end"/>
      </w:r>
      <w:r>
        <w:fldChar w:fldCharType="end"/>
      </w:r>
    </w:p>
    <w:p>
      <w:pPr>
        <w:pStyle w:val="22"/>
        <w:spacing w:line="360" w:lineRule="exact"/>
        <w:rPr>
          <w:rFonts w:asciiTheme="minorHAnsi" w:hAnsiTheme="minorHAnsi" w:eastAsiaTheme="minorEastAsia" w:cstheme="minorBidi"/>
          <w:b w:val="0"/>
          <w:bCs w:val="0"/>
          <w:caps w:val="0"/>
          <w:snapToGrid/>
          <w:sz w:val="21"/>
          <w:szCs w:val="22"/>
        </w:rPr>
      </w:pPr>
      <w:r>
        <w:fldChar w:fldCharType="begin"/>
      </w:r>
      <w:r>
        <w:instrText xml:space="preserve"> HYPERLINK \l "_Toc10105706" </w:instrText>
      </w:r>
      <w:r>
        <w:fldChar w:fldCharType="separate"/>
      </w:r>
      <w:r>
        <w:rPr>
          <w:rStyle w:val="38"/>
          <w:rFonts w:eastAsia="楷体"/>
          <w:spacing w:val="4"/>
          <w:kern w:val="0"/>
        </w:rPr>
        <w:t>9信息报告、上报、通报</w:t>
      </w:r>
      <w:r>
        <w:tab/>
      </w:r>
      <w:r>
        <w:fldChar w:fldCharType="begin"/>
      </w:r>
      <w:r>
        <w:instrText xml:space="preserve"> PAGEREF _Toc10105706 \h </w:instrText>
      </w:r>
      <w:r>
        <w:fldChar w:fldCharType="separate"/>
      </w:r>
      <w:r>
        <w:t>26</w:t>
      </w:r>
      <w:r>
        <w:fldChar w:fldCharType="end"/>
      </w:r>
      <w:r>
        <w:fldChar w:fldCharType="end"/>
      </w:r>
    </w:p>
    <w:p>
      <w:pPr>
        <w:pStyle w:val="25"/>
        <w:tabs>
          <w:tab w:val="right" w:leader="dot" w:pos="8296"/>
        </w:tabs>
        <w:spacing w:line="360" w:lineRule="exact"/>
        <w:rPr>
          <w:rFonts w:asciiTheme="minorHAnsi" w:hAnsiTheme="minorHAnsi" w:eastAsiaTheme="minorEastAsia" w:cstheme="minorBidi"/>
          <w:szCs w:val="22"/>
        </w:rPr>
      </w:pPr>
      <w:r>
        <w:fldChar w:fldCharType="begin"/>
      </w:r>
      <w:r>
        <w:instrText xml:space="preserve"> HYPERLINK \l "_Toc10105707" </w:instrText>
      </w:r>
      <w:r>
        <w:fldChar w:fldCharType="separate"/>
      </w:r>
      <w:r>
        <w:rPr>
          <w:rStyle w:val="38"/>
          <w:rFonts w:eastAsia="黑体"/>
          <w:b/>
          <w:snapToGrid w:val="0"/>
          <w:spacing w:val="4"/>
          <w:kern w:val="0"/>
        </w:rPr>
        <w:t>9.1信息报告</w:t>
      </w:r>
      <w:r>
        <w:tab/>
      </w:r>
      <w:r>
        <w:fldChar w:fldCharType="begin"/>
      </w:r>
      <w:r>
        <w:instrText xml:space="preserve"> PAGEREF _Toc10105707 \h </w:instrText>
      </w:r>
      <w:r>
        <w:fldChar w:fldCharType="separate"/>
      </w:r>
      <w:r>
        <w:t>26</w:t>
      </w:r>
      <w:r>
        <w:fldChar w:fldCharType="end"/>
      </w:r>
      <w:r>
        <w:fldChar w:fldCharType="end"/>
      </w:r>
    </w:p>
    <w:p>
      <w:pPr>
        <w:pStyle w:val="25"/>
        <w:tabs>
          <w:tab w:val="right" w:leader="dot" w:pos="8296"/>
        </w:tabs>
        <w:spacing w:line="360" w:lineRule="exact"/>
        <w:rPr>
          <w:rFonts w:asciiTheme="minorHAnsi" w:hAnsiTheme="minorHAnsi" w:eastAsiaTheme="minorEastAsia" w:cstheme="minorBidi"/>
          <w:szCs w:val="22"/>
        </w:rPr>
      </w:pPr>
      <w:r>
        <w:fldChar w:fldCharType="begin"/>
      </w:r>
      <w:r>
        <w:instrText xml:space="preserve"> HYPERLINK \l "_Toc10105708" </w:instrText>
      </w:r>
      <w:r>
        <w:fldChar w:fldCharType="separate"/>
      </w:r>
      <w:r>
        <w:rPr>
          <w:rStyle w:val="38"/>
          <w:rFonts w:eastAsia="黑体"/>
          <w:b/>
          <w:snapToGrid w:val="0"/>
          <w:spacing w:val="4"/>
          <w:kern w:val="0"/>
        </w:rPr>
        <w:t>9.2信息上报</w:t>
      </w:r>
      <w:r>
        <w:tab/>
      </w:r>
      <w:r>
        <w:fldChar w:fldCharType="begin"/>
      </w:r>
      <w:r>
        <w:instrText xml:space="preserve"> PAGEREF _Toc10105708 \h </w:instrText>
      </w:r>
      <w:r>
        <w:fldChar w:fldCharType="separate"/>
      </w:r>
      <w:r>
        <w:t>26</w:t>
      </w:r>
      <w:r>
        <w:fldChar w:fldCharType="end"/>
      </w:r>
      <w:r>
        <w:fldChar w:fldCharType="end"/>
      </w:r>
    </w:p>
    <w:p>
      <w:pPr>
        <w:pStyle w:val="25"/>
        <w:tabs>
          <w:tab w:val="right" w:leader="dot" w:pos="8296"/>
        </w:tabs>
        <w:spacing w:line="360" w:lineRule="exact"/>
        <w:rPr>
          <w:rFonts w:asciiTheme="minorHAnsi" w:hAnsiTheme="minorHAnsi" w:eastAsiaTheme="minorEastAsia" w:cstheme="minorBidi"/>
          <w:szCs w:val="22"/>
        </w:rPr>
      </w:pPr>
      <w:r>
        <w:fldChar w:fldCharType="begin"/>
      </w:r>
      <w:r>
        <w:instrText xml:space="preserve"> HYPERLINK \l "_Toc10105709" </w:instrText>
      </w:r>
      <w:r>
        <w:fldChar w:fldCharType="separate"/>
      </w:r>
      <w:r>
        <w:rPr>
          <w:rStyle w:val="38"/>
          <w:rFonts w:eastAsia="黑体"/>
          <w:b/>
          <w:snapToGrid w:val="0"/>
          <w:spacing w:val="4"/>
          <w:kern w:val="0"/>
        </w:rPr>
        <w:t>9.3信息通报</w:t>
      </w:r>
      <w:r>
        <w:tab/>
      </w:r>
      <w:r>
        <w:fldChar w:fldCharType="begin"/>
      </w:r>
      <w:r>
        <w:instrText xml:space="preserve"> PAGEREF _Toc10105709 \h </w:instrText>
      </w:r>
      <w:r>
        <w:fldChar w:fldCharType="separate"/>
      </w:r>
      <w:r>
        <w:t>27</w:t>
      </w:r>
      <w:r>
        <w:fldChar w:fldCharType="end"/>
      </w:r>
      <w:r>
        <w:fldChar w:fldCharType="end"/>
      </w:r>
    </w:p>
    <w:p>
      <w:pPr>
        <w:pStyle w:val="25"/>
        <w:tabs>
          <w:tab w:val="right" w:leader="dot" w:pos="8296"/>
        </w:tabs>
        <w:spacing w:line="360" w:lineRule="exact"/>
        <w:rPr>
          <w:rFonts w:asciiTheme="minorHAnsi" w:hAnsiTheme="minorHAnsi" w:eastAsiaTheme="minorEastAsia" w:cstheme="minorBidi"/>
          <w:szCs w:val="22"/>
        </w:rPr>
      </w:pPr>
      <w:r>
        <w:fldChar w:fldCharType="begin"/>
      </w:r>
      <w:r>
        <w:instrText xml:space="preserve"> HYPERLINK \l "_Toc10105710" </w:instrText>
      </w:r>
      <w:r>
        <w:fldChar w:fldCharType="separate"/>
      </w:r>
      <w:r>
        <w:rPr>
          <w:rStyle w:val="38"/>
          <w:rFonts w:eastAsia="黑体"/>
          <w:b/>
          <w:snapToGrid w:val="0"/>
          <w:spacing w:val="4"/>
          <w:kern w:val="0"/>
        </w:rPr>
        <w:t>9.4报告内容</w:t>
      </w:r>
      <w:r>
        <w:tab/>
      </w:r>
      <w:r>
        <w:fldChar w:fldCharType="begin"/>
      </w:r>
      <w:r>
        <w:instrText xml:space="preserve"> PAGEREF _Toc10105710 \h </w:instrText>
      </w:r>
      <w:r>
        <w:fldChar w:fldCharType="separate"/>
      </w:r>
      <w:r>
        <w:t>28</w:t>
      </w:r>
      <w:r>
        <w:fldChar w:fldCharType="end"/>
      </w:r>
      <w:r>
        <w:fldChar w:fldCharType="end"/>
      </w:r>
    </w:p>
    <w:p>
      <w:pPr>
        <w:pStyle w:val="22"/>
        <w:spacing w:line="360" w:lineRule="exact"/>
        <w:rPr>
          <w:rFonts w:asciiTheme="minorHAnsi" w:hAnsiTheme="minorHAnsi" w:eastAsiaTheme="minorEastAsia" w:cstheme="minorBidi"/>
          <w:b w:val="0"/>
          <w:bCs w:val="0"/>
          <w:caps w:val="0"/>
          <w:snapToGrid/>
          <w:sz w:val="21"/>
          <w:szCs w:val="22"/>
        </w:rPr>
      </w:pPr>
      <w:r>
        <w:fldChar w:fldCharType="begin"/>
      </w:r>
      <w:r>
        <w:instrText xml:space="preserve"> HYPERLINK \l "_Toc10105711" </w:instrText>
      </w:r>
      <w:r>
        <w:fldChar w:fldCharType="separate"/>
      </w:r>
      <w:r>
        <w:rPr>
          <w:rStyle w:val="38"/>
          <w:rFonts w:eastAsia="楷体"/>
          <w:spacing w:val="4"/>
          <w:kern w:val="0"/>
        </w:rPr>
        <w:t>10后期处置</w:t>
      </w:r>
      <w:r>
        <w:tab/>
      </w:r>
      <w:r>
        <w:fldChar w:fldCharType="begin"/>
      </w:r>
      <w:r>
        <w:instrText xml:space="preserve"> PAGEREF _Toc10105711 \h </w:instrText>
      </w:r>
      <w:r>
        <w:fldChar w:fldCharType="separate"/>
      </w:r>
      <w:r>
        <w:t>29</w:t>
      </w:r>
      <w:r>
        <w:fldChar w:fldCharType="end"/>
      </w:r>
      <w:r>
        <w:fldChar w:fldCharType="end"/>
      </w:r>
    </w:p>
    <w:p>
      <w:pPr>
        <w:pStyle w:val="25"/>
        <w:tabs>
          <w:tab w:val="right" w:leader="dot" w:pos="8296"/>
        </w:tabs>
        <w:spacing w:line="360" w:lineRule="exact"/>
        <w:rPr>
          <w:rFonts w:asciiTheme="minorHAnsi" w:hAnsiTheme="minorHAnsi" w:eastAsiaTheme="minorEastAsia" w:cstheme="minorBidi"/>
          <w:szCs w:val="22"/>
        </w:rPr>
      </w:pPr>
      <w:r>
        <w:fldChar w:fldCharType="begin"/>
      </w:r>
      <w:r>
        <w:instrText xml:space="preserve"> HYPERLINK \l "_Toc10105712" </w:instrText>
      </w:r>
      <w:r>
        <w:fldChar w:fldCharType="separate"/>
      </w:r>
      <w:r>
        <w:rPr>
          <w:rStyle w:val="38"/>
          <w:rFonts w:eastAsia="黑体"/>
          <w:b/>
          <w:snapToGrid w:val="0"/>
          <w:spacing w:val="4"/>
          <w:kern w:val="0"/>
        </w:rPr>
        <w:t>10.1 现场恢复</w:t>
      </w:r>
      <w:r>
        <w:tab/>
      </w:r>
      <w:r>
        <w:fldChar w:fldCharType="begin"/>
      </w:r>
      <w:r>
        <w:instrText xml:space="preserve"> PAGEREF _Toc10105712 \h </w:instrText>
      </w:r>
      <w:r>
        <w:fldChar w:fldCharType="separate"/>
      </w:r>
      <w:r>
        <w:t>29</w:t>
      </w:r>
      <w:r>
        <w:fldChar w:fldCharType="end"/>
      </w:r>
      <w:r>
        <w:fldChar w:fldCharType="end"/>
      </w:r>
    </w:p>
    <w:p>
      <w:pPr>
        <w:pStyle w:val="25"/>
        <w:tabs>
          <w:tab w:val="right" w:leader="dot" w:pos="8296"/>
        </w:tabs>
        <w:spacing w:line="360" w:lineRule="exact"/>
        <w:rPr>
          <w:rFonts w:asciiTheme="minorHAnsi" w:hAnsiTheme="minorHAnsi" w:eastAsiaTheme="minorEastAsia" w:cstheme="minorBidi"/>
          <w:szCs w:val="22"/>
        </w:rPr>
      </w:pPr>
      <w:r>
        <w:fldChar w:fldCharType="begin"/>
      </w:r>
      <w:r>
        <w:instrText xml:space="preserve"> HYPERLINK \l "_Toc10105716" </w:instrText>
      </w:r>
      <w:r>
        <w:fldChar w:fldCharType="separate"/>
      </w:r>
      <w:r>
        <w:rPr>
          <w:rStyle w:val="38"/>
          <w:rFonts w:eastAsia="黑体"/>
          <w:b/>
          <w:snapToGrid w:val="0"/>
          <w:spacing w:val="4"/>
          <w:kern w:val="0"/>
        </w:rPr>
        <w:t>10.2 善后赔偿</w:t>
      </w:r>
      <w:r>
        <w:tab/>
      </w:r>
      <w:r>
        <w:fldChar w:fldCharType="begin"/>
      </w:r>
      <w:r>
        <w:instrText xml:space="preserve"> PAGEREF _Toc10105716 \h </w:instrText>
      </w:r>
      <w:r>
        <w:fldChar w:fldCharType="separate"/>
      </w:r>
      <w:r>
        <w:t>30</w:t>
      </w:r>
      <w:r>
        <w:fldChar w:fldCharType="end"/>
      </w:r>
      <w:r>
        <w:fldChar w:fldCharType="end"/>
      </w:r>
    </w:p>
    <w:p>
      <w:pPr>
        <w:pStyle w:val="22"/>
        <w:spacing w:line="360" w:lineRule="exact"/>
        <w:rPr>
          <w:rFonts w:asciiTheme="minorHAnsi" w:hAnsiTheme="minorHAnsi" w:eastAsiaTheme="minorEastAsia" w:cstheme="minorBidi"/>
          <w:b w:val="0"/>
          <w:bCs w:val="0"/>
          <w:caps w:val="0"/>
          <w:snapToGrid/>
          <w:sz w:val="21"/>
          <w:szCs w:val="22"/>
        </w:rPr>
      </w:pPr>
      <w:r>
        <w:fldChar w:fldCharType="begin"/>
      </w:r>
      <w:r>
        <w:instrText xml:space="preserve"> HYPERLINK \l "_Toc10105717" </w:instrText>
      </w:r>
      <w:r>
        <w:fldChar w:fldCharType="separate"/>
      </w:r>
      <w:r>
        <w:rPr>
          <w:rStyle w:val="38"/>
          <w:rFonts w:eastAsia="楷体"/>
          <w:spacing w:val="4"/>
          <w:kern w:val="0"/>
        </w:rPr>
        <w:t>11 应急保障</w:t>
      </w:r>
      <w:r>
        <w:tab/>
      </w:r>
      <w:r>
        <w:fldChar w:fldCharType="begin"/>
      </w:r>
      <w:r>
        <w:instrText xml:space="preserve"> PAGEREF _Toc10105717 \h </w:instrText>
      </w:r>
      <w:r>
        <w:fldChar w:fldCharType="separate"/>
      </w:r>
      <w:r>
        <w:t>31</w:t>
      </w:r>
      <w:r>
        <w:fldChar w:fldCharType="end"/>
      </w:r>
      <w:r>
        <w:fldChar w:fldCharType="end"/>
      </w:r>
    </w:p>
    <w:p>
      <w:pPr>
        <w:pStyle w:val="25"/>
        <w:tabs>
          <w:tab w:val="right" w:leader="dot" w:pos="8296"/>
        </w:tabs>
        <w:spacing w:line="360" w:lineRule="exact"/>
        <w:rPr>
          <w:rFonts w:asciiTheme="minorHAnsi" w:hAnsiTheme="minorHAnsi" w:eastAsiaTheme="minorEastAsia" w:cstheme="minorBidi"/>
          <w:szCs w:val="22"/>
        </w:rPr>
      </w:pPr>
      <w:r>
        <w:fldChar w:fldCharType="begin"/>
      </w:r>
      <w:r>
        <w:instrText xml:space="preserve"> HYPERLINK \l "_Toc10105718" </w:instrText>
      </w:r>
      <w:r>
        <w:fldChar w:fldCharType="separate"/>
      </w:r>
      <w:r>
        <w:rPr>
          <w:rStyle w:val="38"/>
          <w:rFonts w:eastAsia="黑体"/>
          <w:b/>
          <w:snapToGrid w:val="0"/>
          <w:spacing w:val="4"/>
          <w:kern w:val="0"/>
        </w:rPr>
        <w:t>11.1 通信与信息保障</w:t>
      </w:r>
      <w:r>
        <w:tab/>
      </w:r>
      <w:r>
        <w:fldChar w:fldCharType="begin"/>
      </w:r>
      <w:r>
        <w:instrText xml:space="preserve"> PAGEREF _Toc10105718 \h </w:instrText>
      </w:r>
      <w:r>
        <w:fldChar w:fldCharType="separate"/>
      </w:r>
      <w:r>
        <w:t>31</w:t>
      </w:r>
      <w:r>
        <w:fldChar w:fldCharType="end"/>
      </w:r>
      <w:r>
        <w:fldChar w:fldCharType="end"/>
      </w:r>
    </w:p>
    <w:p>
      <w:pPr>
        <w:pStyle w:val="25"/>
        <w:tabs>
          <w:tab w:val="right" w:leader="dot" w:pos="8296"/>
        </w:tabs>
        <w:spacing w:line="360" w:lineRule="exact"/>
        <w:rPr>
          <w:rFonts w:asciiTheme="minorHAnsi" w:hAnsiTheme="minorHAnsi" w:eastAsiaTheme="minorEastAsia" w:cstheme="minorBidi"/>
          <w:szCs w:val="22"/>
        </w:rPr>
      </w:pPr>
      <w:r>
        <w:fldChar w:fldCharType="begin"/>
      </w:r>
      <w:r>
        <w:instrText xml:space="preserve"> HYPERLINK \l "_Toc10105719" </w:instrText>
      </w:r>
      <w:r>
        <w:fldChar w:fldCharType="separate"/>
      </w:r>
      <w:r>
        <w:rPr>
          <w:rStyle w:val="38"/>
          <w:rFonts w:eastAsia="黑体"/>
          <w:b/>
          <w:snapToGrid w:val="0"/>
          <w:spacing w:val="4"/>
          <w:kern w:val="0"/>
        </w:rPr>
        <w:t>11.2 应急队伍保障</w:t>
      </w:r>
      <w:r>
        <w:tab/>
      </w:r>
      <w:r>
        <w:fldChar w:fldCharType="begin"/>
      </w:r>
      <w:r>
        <w:instrText xml:space="preserve"> PAGEREF _Toc10105719 \h </w:instrText>
      </w:r>
      <w:r>
        <w:fldChar w:fldCharType="separate"/>
      </w:r>
      <w:r>
        <w:t>31</w:t>
      </w:r>
      <w:r>
        <w:fldChar w:fldCharType="end"/>
      </w:r>
      <w:r>
        <w:fldChar w:fldCharType="end"/>
      </w:r>
    </w:p>
    <w:p>
      <w:pPr>
        <w:pStyle w:val="25"/>
        <w:tabs>
          <w:tab w:val="right" w:leader="dot" w:pos="8296"/>
        </w:tabs>
        <w:spacing w:line="360" w:lineRule="exact"/>
        <w:rPr>
          <w:rFonts w:asciiTheme="minorHAnsi" w:hAnsiTheme="minorHAnsi" w:eastAsiaTheme="minorEastAsia" w:cstheme="minorBidi"/>
          <w:szCs w:val="22"/>
        </w:rPr>
      </w:pPr>
      <w:r>
        <w:fldChar w:fldCharType="begin"/>
      </w:r>
      <w:r>
        <w:instrText xml:space="preserve"> HYPERLINK \l "_Toc10105720" </w:instrText>
      </w:r>
      <w:r>
        <w:fldChar w:fldCharType="separate"/>
      </w:r>
      <w:r>
        <w:rPr>
          <w:rStyle w:val="38"/>
          <w:rFonts w:eastAsia="黑体"/>
          <w:b/>
          <w:snapToGrid w:val="0"/>
          <w:spacing w:val="4"/>
          <w:kern w:val="0"/>
        </w:rPr>
        <w:t>11.3 应急物资装备保障</w:t>
      </w:r>
      <w:r>
        <w:tab/>
      </w:r>
      <w:r>
        <w:fldChar w:fldCharType="begin"/>
      </w:r>
      <w:r>
        <w:instrText xml:space="preserve"> PAGEREF _Toc10105720 \h </w:instrText>
      </w:r>
      <w:r>
        <w:fldChar w:fldCharType="separate"/>
      </w:r>
      <w:r>
        <w:t>32</w:t>
      </w:r>
      <w:r>
        <w:fldChar w:fldCharType="end"/>
      </w:r>
      <w:r>
        <w:fldChar w:fldCharType="end"/>
      </w:r>
    </w:p>
    <w:p>
      <w:pPr>
        <w:pStyle w:val="25"/>
        <w:tabs>
          <w:tab w:val="right" w:leader="dot" w:pos="8296"/>
        </w:tabs>
        <w:spacing w:line="360" w:lineRule="exact"/>
        <w:rPr>
          <w:rFonts w:asciiTheme="minorHAnsi" w:hAnsiTheme="minorHAnsi" w:eastAsiaTheme="minorEastAsia" w:cstheme="minorBidi"/>
          <w:szCs w:val="22"/>
        </w:rPr>
      </w:pPr>
      <w:r>
        <w:fldChar w:fldCharType="begin"/>
      </w:r>
      <w:r>
        <w:instrText xml:space="preserve"> HYPERLINK \l "_Toc10105721" </w:instrText>
      </w:r>
      <w:r>
        <w:fldChar w:fldCharType="separate"/>
      </w:r>
      <w:r>
        <w:rPr>
          <w:rStyle w:val="38"/>
          <w:rFonts w:eastAsia="黑体"/>
          <w:b/>
          <w:snapToGrid w:val="0"/>
          <w:spacing w:val="4"/>
          <w:kern w:val="0"/>
        </w:rPr>
        <w:t>11.4 经费保障</w:t>
      </w:r>
      <w:r>
        <w:tab/>
      </w:r>
      <w:r>
        <w:fldChar w:fldCharType="begin"/>
      </w:r>
      <w:r>
        <w:instrText xml:space="preserve"> PAGEREF _Toc10105721 \h </w:instrText>
      </w:r>
      <w:r>
        <w:fldChar w:fldCharType="separate"/>
      </w:r>
      <w:r>
        <w:t>32</w:t>
      </w:r>
      <w:r>
        <w:fldChar w:fldCharType="end"/>
      </w:r>
      <w:r>
        <w:fldChar w:fldCharType="end"/>
      </w:r>
    </w:p>
    <w:p>
      <w:pPr>
        <w:pStyle w:val="25"/>
        <w:tabs>
          <w:tab w:val="right" w:leader="dot" w:pos="8296"/>
        </w:tabs>
        <w:spacing w:line="360" w:lineRule="exact"/>
        <w:rPr>
          <w:rFonts w:asciiTheme="minorHAnsi" w:hAnsiTheme="minorHAnsi" w:eastAsiaTheme="minorEastAsia" w:cstheme="minorBidi"/>
          <w:szCs w:val="22"/>
        </w:rPr>
      </w:pPr>
      <w:r>
        <w:fldChar w:fldCharType="begin"/>
      </w:r>
      <w:r>
        <w:instrText xml:space="preserve"> HYPERLINK \l "_Toc10105722" </w:instrText>
      </w:r>
      <w:r>
        <w:fldChar w:fldCharType="separate"/>
      </w:r>
      <w:r>
        <w:rPr>
          <w:rStyle w:val="38"/>
          <w:rFonts w:eastAsia="黑体"/>
          <w:b/>
          <w:snapToGrid w:val="0"/>
          <w:spacing w:val="4"/>
          <w:kern w:val="0"/>
        </w:rPr>
        <w:t>11.5 医疗保障</w:t>
      </w:r>
      <w:r>
        <w:tab/>
      </w:r>
      <w:r>
        <w:fldChar w:fldCharType="begin"/>
      </w:r>
      <w:r>
        <w:instrText xml:space="preserve"> PAGEREF _Toc10105722 \h </w:instrText>
      </w:r>
      <w:r>
        <w:fldChar w:fldCharType="separate"/>
      </w:r>
      <w:r>
        <w:t>32</w:t>
      </w:r>
      <w:r>
        <w:fldChar w:fldCharType="end"/>
      </w:r>
      <w:r>
        <w:fldChar w:fldCharType="end"/>
      </w:r>
    </w:p>
    <w:p>
      <w:pPr>
        <w:pStyle w:val="25"/>
        <w:tabs>
          <w:tab w:val="right" w:leader="dot" w:pos="8296"/>
        </w:tabs>
        <w:spacing w:line="360" w:lineRule="exact"/>
        <w:rPr>
          <w:rFonts w:asciiTheme="minorHAnsi" w:hAnsiTheme="minorHAnsi" w:eastAsiaTheme="minorEastAsia" w:cstheme="minorBidi"/>
          <w:szCs w:val="22"/>
        </w:rPr>
      </w:pPr>
      <w:r>
        <w:fldChar w:fldCharType="begin"/>
      </w:r>
      <w:r>
        <w:instrText xml:space="preserve"> HYPERLINK \l "_Toc10105723" </w:instrText>
      </w:r>
      <w:r>
        <w:fldChar w:fldCharType="separate"/>
      </w:r>
      <w:r>
        <w:rPr>
          <w:rStyle w:val="38"/>
          <w:rFonts w:eastAsia="黑体"/>
          <w:b/>
          <w:snapToGrid w:val="0"/>
          <w:spacing w:val="4"/>
          <w:kern w:val="0"/>
        </w:rPr>
        <w:t>11.6 交通运输保障</w:t>
      </w:r>
      <w:r>
        <w:tab/>
      </w:r>
      <w:r>
        <w:fldChar w:fldCharType="begin"/>
      </w:r>
      <w:r>
        <w:instrText xml:space="preserve"> PAGEREF _Toc10105723 \h </w:instrText>
      </w:r>
      <w:r>
        <w:fldChar w:fldCharType="separate"/>
      </w:r>
      <w:r>
        <w:t>32</w:t>
      </w:r>
      <w:r>
        <w:fldChar w:fldCharType="end"/>
      </w:r>
      <w:r>
        <w:fldChar w:fldCharType="end"/>
      </w:r>
    </w:p>
    <w:p>
      <w:pPr>
        <w:pStyle w:val="22"/>
        <w:spacing w:line="360" w:lineRule="exact"/>
        <w:rPr>
          <w:rFonts w:asciiTheme="minorHAnsi" w:hAnsiTheme="minorHAnsi" w:eastAsiaTheme="minorEastAsia" w:cstheme="minorBidi"/>
          <w:b w:val="0"/>
          <w:bCs w:val="0"/>
          <w:caps w:val="0"/>
          <w:snapToGrid/>
          <w:sz w:val="21"/>
          <w:szCs w:val="22"/>
        </w:rPr>
      </w:pPr>
      <w:r>
        <w:fldChar w:fldCharType="begin"/>
      </w:r>
      <w:r>
        <w:instrText xml:space="preserve"> HYPERLINK \l "_Toc10105724" </w:instrText>
      </w:r>
      <w:r>
        <w:fldChar w:fldCharType="separate"/>
      </w:r>
      <w:r>
        <w:rPr>
          <w:rStyle w:val="38"/>
          <w:rFonts w:eastAsia="楷体"/>
          <w:spacing w:val="4"/>
          <w:kern w:val="0"/>
        </w:rPr>
        <w:t>12 监督与管理</w:t>
      </w:r>
      <w:r>
        <w:tab/>
      </w:r>
      <w:r>
        <w:fldChar w:fldCharType="begin"/>
      </w:r>
      <w:r>
        <w:instrText xml:space="preserve"> PAGEREF _Toc10105724 \h </w:instrText>
      </w:r>
      <w:r>
        <w:fldChar w:fldCharType="separate"/>
      </w:r>
      <w:r>
        <w:t>33</w:t>
      </w:r>
      <w:r>
        <w:fldChar w:fldCharType="end"/>
      </w:r>
      <w:r>
        <w:fldChar w:fldCharType="end"/>
      </w:r>
    </w:p>
    <w:p>
      <w:pPr>
        <w:pStyle w:val="25"/>
        <w:tabs>
          <w:tab w:val="right" w:leader="dot" w:pos="8296"/>
        </w:tabs>
        <w:spacing w:line="360" w:lineRule="exact"/>
        <w:rPr>
          <w:rFonts w:asciiTheme="minorHAnsi" w:hAnsiTheme="minorHAnsi" w:eastAsiaTheme="minorEastAsia" w:cstheme="minorBidi"/>
          <w:szCs w:val="22"/>
        </w:rPr>
      </w:pPr>
      <w:r>
        <w:fldChar w:fldCharType="begin"/>
      </w:r>
      <w:r>
        <w:instrText xml:space="preserve"> HYPERLINK \l "_Toc10105725" </w:instrText>
      </w:r>
      <w:r>
        <w:fldChar w:fldCharType="separate"/>
      </w:r>
      <w:r>
        <w:rPr>
          <w:rStyle w:val="38"/>
          <w:rFonts w:eastAsia="黑体"/>
          <w:b/>
          <w:snapToGrid w:val="0"/>
          <w:spacing w:val="4"/>
          <w:kern w:val="0"/>
        </w:rPr>
        <w:t>12.1预案演练</w:t>
      </w:r>
      <w:r>
        <w:tab/>
      </w:r>
      <w:r>
        <w:fldChar w:fldCharType="begin"/>
      </w:r>
      <w:r>
        <w:instrText xml:space="preserve"> PAGEREF _Toc10105725 \h </w:instrText>
      </w:r>
      <w:r>
        <w:fldChar w:fldCharType="separate"/>
      </w:r>
      <w:r>
        <w:t>33</w:t>
      </w:r>
      <w:r>
        <w:fldChar w:fldCharType="end"/>
      </w:r>
      <w:r>
        <w:fldChar w:fldCharType="end"/>
      </w:r>
    </w:p>
    <w:p>
      <w:pPr>
        <w:pStyle w:val="25"/>
        <w:tabs>
          <w:tab w:val="right" w:leader="dot" w:pos="8296"/>
        </w:tabs>
        <w:spacing w:line="360" w:lineRule="exact"/>
        <w:rPr>
          <w:rFonts w:asciiTheme="minorHAnsi" w:hAnsiTheme="minorHAnsi" w:eastAsiaTheme="minorEastAsia" w:cstheme="minorBidi"/>
          <w:szCs w:val="22"/>
        </w:rPr>
      </w:pPr>
      <w:r>
        <w:fldChar w:fldCharType="begin"/>
      </w:r>
      <w:r>
        <w:instrText xml:space="preserve"> HYPERLINK \l "_Toc10105729" </w:instrText>
      </w:r>
      <w:r>
        <w:fldChar w:fldCharType="separate"/>
      </w:r>
      <w:r>
        <w:rPr>
          <w:rStyle w:val="38"/>
          <w:rFonts w:eastAsia="黑体"/>
          <w:b/>
          <w:snapToGrid w:val="0"/>
          <w:spacing w:val="4"/>
          <w:kern w:val="0"/>
        </w:rPr>
        <w:t>12.2宣传培训</w:t>
      </w:r>
      <w:r>
        <w:tab/>
      </w:r>
      <w:r>
        <w:fldChar w:fldCharType="begin"/>
      </w:r>
      <w:r>
        <w:instrText xml:space="preserve"> PAGEREF _Toc10105729 \h </w:instrText>
      </w:r>
      <w:r>
        <w:fldChar w:fldCharType="separate"/>
      </w:r>
      <w:r>
        <w:t>34</w:t>
      </w:r>
      <w:r>
        <w:fldChar w:fldCharType="end"/>
      </w:r>
      <w:r>
        <w:fldChar w:fldCharType="end"/>
      </w:r>
    </w:p>
    <w:p>
      <w:pPr>
        <w:pStyle w:val="25"/>
        <w:tabs>
          <w:tab w:val="right" w:leader="dot" w:pos="8296"/>
        </w:tabs>
        <w:spacing w:line="360" w:lineRule="exact"/>
        <w:rPr>
          <w:rFonts w:asciiTheme="minorHAnsi" w:hAnsiTheme="minorHAnsi" w:eastAsiaTheme="minorEastAsia" w:cstheme="minorBidi"/>
          <w:szCs w:val="22"/>
        </w:rPr>
      </w:pPr>
      <w:r>
        <w:fldChar w:fldCharType="begin"/>
      </w:r>
      <w:r>
        <w:instrText xml:space="preserve"> HYPERLINK \l "_Toc10105735" </w:instrText>
      </w:r>
      <w:r>
        <w:fldChar w:fldCharType="separate"/>
      </w:r>
      <w:r>
        <w:rPr>
          <w:rStyle w:val="38"/>
          <w:rFonts w:eastAsia="黑体"/>
          <w:b/>
          <w:snapToGrid w:val="0"/>
          <w:spacing w:val="4"/>
          <w:kern w:val="0"/>
        </w:rPr>
        <w:t>12.3责任与奖惩</w:t>
      </w:r>
      <w:r>
        <w:tab/>
      </w:r>
      <w:r>
        <w:fldChar w:fldCharType="begin"/>
      </w:r>
      <w:r>
        <w:instrText xml:space="preserve"> PAGEREF _Toc10105735 \h </w:instrText>
      </w:r>
      <w:r>
        <w:fldChar w:fldCharType="separate"/>
      </w:r>
      <w:r>
        <w:t>35</w:t>
      </w:r>
      <w:r>
        <w:fldChar w:fldCharType="end"/>
      </w:r>
      <w:r>
        <w:fldChar w:fldCharType="end"/>
      </w:r>
    </w:p>
    <w:p>
      <w:pPr>
        <w:pStyle w:val="25"/>
        <w:tabs>
          <w:tab w:val="right" w:leader="dot" w:pos="8296"/>
        </w:tabs>
        <w:spacing w:line="360" w:lineRule="exact"/>
        <w:rPr>
          <w:rFonts w:asciiTheme="minorHAnsi" w:hAnsiTheme="minorHAnsi" w:eastAsiaTheme="minorEastAsia" w:cstheme="minorBidi"/>
          <w:szCs w:val="22"/>
        </w:rPr>
      </w:pPr>
      <w:r>
        <w:fldChar w:fldCharType="begin"/>
      </w:r>
      <w:r>
        <w:instrText xml:space="preserve"> HYPERLINK \l "_Toc10105739" </w:instrText>
      </w:r>
      <w:r>
        <w:fldChar w:fldCharType="separate"/>
      </w:r>
      <w:r>
        <w:rPr>
          <w:rStyle w:val="38"/>
          <w:rFonts w:eastAsia="黑体"/>
          <w:b/>
          <w:snapToGrid w:val="0"/>
          <w:spacing w:val="4"/>
          <w:kern w:val="0"/>
        </w:rPr>
        <w:t>12.4预案修订</w:t>
      </w:r>
      <w:r>
        <w:tab/>
      </w:r>
      <w:r>
        <w:fldChar w:fldCharType="begin"/>
      </w:r>
      <w:r>
        <w:instrText xml:space="preserve"> PAGEREF _Toc10105739 \h </w:instrText>
      </w:r>
      <w:r>
        <w:fldChar w:fldCharType="separate"/>
      </w:r>
      <w:r>
        <w:t>35</w:t>
      </w:r>
      <w:r>
        <w:fldChar w:fldCharType="end"/>
      </w:r>
      <w:r>
        <w:fldChar w:fldCharType="end"/>
      </w:r>
    </w:p>
    <w:p>
      <w:pPr>
        <w:pStyle w:val="25"/>
        <w:tabs>
          <w:tab w:val="right" w:leader="dot" w:pos="8296"/>
        </w:tabs>
        <w:spacing w:line="360" w:lineRule="exact"/>
        <w:rPr>
          <w:rFonts w:asciiTheme="minorHAnsi" w:hAnsiTheme="minorHAnsi" w:eastAsiaTheme="minorEastAsia" w:cstheme="minorBidi"/>
          <w:szCs w:val="22"/>
        </w:rPr>
      </w:pPr>
      <w:r>
        <w:fldChar w:fldCharType="begin"/>
      </w:r>
      <w:r>
        <w:instrText xml:space="preserve"> HYPERLINK \l "_Toc10105740" </w:instrText>
      </w:r>
      <w:r>
        <w:fldChar w:fldCharType="separate"/>
      </w:r>
      <w:r>
        <w:rPr>
          <w:rStyle w:val="38"/>
          <w:rFonts w:eastAsia="黑体"/>
          <w:b/>
          <w:snapToGrid w:val="0"/>
          <w:spacing w:val="4"/>
          <w:kern w:val="0"/>
        </w:rPr>
        <w:t>12.5预案备案</w:t>
      </w:r>
      <w:r>
        <w:tab/>
      </w:r>
      <w:r>
        <w:fldChar w:fldCharType="begin"/>
      </w:r>
      <w:r>
        <w:instrText xml:space="preserve"> PAGEREF _Toc10105740 \h </w:instrText>
      </w:r>
      <w:r>
        <w:fldChar w:fldCharType="separate"/>
      </w:r>
      <w:r>
        <w:t>36</w:t>
      </w:r>
      <w:r>
        <w:fldChar w:fldCharType="end"/>
      </w:r>
      <w:r>
        <w:fldChar w:fldCharType="end"/>
      </w:r>
    </w:p>
    <w:p>
      <w:pPr>
        <w:pStyle w:val="22"/>
        <w:spacing w:line="360" w:lineRule="exact"/>
        <w:rPr>
          <w:rFonts w:asciiTheme="minorHAnsi" w:hAnsiTheme="minorHAnsi" w:eastAsiaTheme="minorEastAsia" w:cstheme="minorBidi"/>
          <w:b w:val="0"/>
          <w:bCs w:val="0"/>
          <w:caps w:val="0"/>
          <w:snapToGrid/>
          <w:sz w:val="21"/>
          <w:szCs w:val="22"/>
        </w:rPr>
      </w:pPr>
      <w:r>
        <w:fldChar w:fldCharType="begin"/>
      </w:r>
      <w:r>
        <w:instrText xml:space="preserve"> HYPERLINK \l "_Toc10105741" </w:instrText>
      </w:r>
      <w:r>
        <w:fldChar w:fldCharType="separate"/>
      </w:r>
      <w:r>
        <w:rPr>
          <w:rStyle w:val="38"/>
          <w:rFonts w:eastAsia="楷体"/>
          <w:spacing w:val="4"/>
          <w:kern w:val="0"/>
        </w:rPr>
        <w:t>13附则</w:t>
      </w:r>
      <w:r>
        <w:tab/>
      </w:r>
      <w:r>
        <w:fldChar w:fldCharType="begin"/>
      </w:r>
      <w:r>
        <w:instrText xml:space="preserve"> PAGEREF _Toc10105741 \h </w:instrText>
      </w:r>
      <w:r>
        <w:fldChar w:fldCharType="separate"/>
      </w:r>
      <w:r>
        <w:t>37</w:t>
      </w:r>
      <w:r>
        <w:fldChar w:fldCharType="end"/>
      </w:r>
      <w:r>
        <w:fldChar w:fldCharType="end"/>
      </w:r>
    </w:p>
    <w:p>
      <w:pPr>
        <w:pStyle w:val="25"/>
        <w:tabs>
          <w:tab w:val="right" w:leader="dot" w:pos="8296"/>
        </w:tabs>
        <w:spacing w:line="360" w:lineRule="exact"/>
        <w:rPr>
          <w:rFonts w:asciiTheme="minorHAnsi" w:hAnsiTheme="minorHAnsi" w:eastAsiaTheme="minorEastAsia" w:cstheme="minorBidi"/>
          <w:szCs w:val="22"/>
        </w:rPr>
      </w:pPr>
      <w:r>
        <w:fldChar w:fldCharType="begin"/>
      </w:r>
      <w:r>
        <w:instrText xml:space="preserve"> HYPERLINK \l "_Toc10105742" </w:instrText>
      </w:r>
      <w:r>
        <w:fldChar w:fldCharType="separate"/>
      </w:r>
      <w:r>
        <w:rPr>
          <w:rStyle w:val="38"/>
          <w:rFonts w:eastAsia="黑体"/>
          <w:b/>
          <w:snapToGrid w:val="0"/>
          <w:spacing w:val="4"/>
          <w:kern w:val="0"/>
        </w:rPr>
        <w:t>13.1术语与定义</w:t>
      </w:r>
      <w:r>
        <w:tab/>
      </w:r>
      <w:r>
        <w:fldChar w:fldCharType="begin"/>
      </w:r>
      <w:r>
        <w:instrText xml:space="preserve"> PAGEREF _Toc10105742 \h </w:instrText>
      </w:r>
      <w:r>
        <w:fldChar w:fldCharType="separate"/>
      </w:r>
      <w:r>
        <w:t>37</w:t>
      </w:r>
      <w:r>
        <w:fldChar w:fldCharType="end"/>
      </w:r>
      <w:r>
        <w:fldChar w:fldCharType="end"/>
      </w:r>
    </w:p>
    <w:p>
      <w:pPr>
        <w:pStyle w:val="25"/>
        <w:tabs>
          <w:tab w:val="right" w:leader="dot" w:pos="8296"/>
        </w:tabs>
        <w:spacing w:line="360" w:lineRule="exact"/>
        <w:rPr>
          <w:rFonts w:asciiTheme="minorHAnsi" w:hAnsiTheme="minorHAnsi" w:eastAsiaTheme="minorEastAsia" w:cstheme="minorBidi"/>
          <w:szCs w:val="22"/>
        </w:rPr>
      </w:pPr>
      <w:r>
        <w:fldChar w:fldCharType="begin"/>
      </w:r>
      <w:r>
        <w:instrText xml:space="preserve"> HYPERLINK \l "_Toc10105743" </w:instrText>
      </w:r>
      <w:r>
        <w:fldChar w:fldCharType="separate"/>
      </w:r>
      <w:r>
        <w:rPr>
          <w:rStyle w:val="38"/>
          <w:b/>
          <w:snapToGrid w:val="0"/>
          <w:spacing w:val="4"/>
          <w:kern w:val="0"/>
        </w:rPr>
        <w:t>13.2</w:t>
      </w:r>
      <w:r>
        <w:rPr>
          <w:rStyle w:val="38"/>
          <w:rFonts w:asciiTheme="minorEastAsia" w:hAnsiTheme="minorEastAsia"/>
          <w:b/>
          <w:snapToGrid w:val="0"/>
          <w:spacing w:val="4"/>
          <w:kern w:val="0"/>
        </w:rPr>
        <w:t>发布实施</w:t>
      </w:r>
      <w:r>
        <w:tab/>
      </w:r>
      <w:r>
        <w:fldChar w:fldCharType="begin"/>
      </w:r>
      <w:r>
        <w:instrText xml:space="preserve"> PAGEREF _Toc10105743 \h </w:instrText>
      </w:r>
      <w:r>
        <w:fldChar w:fldCharType="separate"/>
      </w:r>
      <w:r>
        <w:t>37</w:t>
      </w:r>
      <w:r>
        <w:fldChar w:fldCharType="end"/>
      </w:r>
      <w:r>
        <w:fldChar w:fldCharType="end"/>
      </w:r>
    </w:p>
    <w:p>
      <w:pPr>
        <w:pStyle w:val="22"/>
        <w:spacing w:line="360" w:lineRule="exact"/>
        <w:rPr>
          <w:rFonts w:asciiTheme="minorHAnsi" w:hAnsiTheme="minorHAnsi" w:eastAsiaTheme="minorEastAsia" w:cstheme="minorBidi"/>
          <w:b w:val="0"/>
          <w:bCs w:val="0"/>
          <w:caps w:val="0"/>
          <w:snapToGrid/>
          <w:sz w:val="21"/>
          <w:szCs w:val="22"/>
        </w:rPr>
      </w:pPr>
      <w:r>
        <w:fldChar w:fldCharType="begin"/>
      </w:r>
      <w:r>
        <w:instrText xml:space="preserve"> HYPERLINK \l "_Toc10105744" </w:instrText>
      </w:r>
      <w:r>
        <w:fldChar w:fldCharType="separate"/>
      </w:r>
      <w:r>
        <w:rPr>
          <w:rStyle w:val="38"/>
          <w:rFonts w:eastAsia="楷体"/>
          <w:spacing w:val="4"/>
          <w:kern w:val="0"/>
        </w:rPr>
        <w:t>14附图与附件</w:t>
      </w:r>
      <w:r>
        <w:tab/>
      </w:r>
      <w:r>
        <w:fldChar w:fldCharType="begin"/>
      </w:r>
      <w:r>
        <w:instrText xml:space="preserve"> PAGEREF _Toc10105744 \h </w:instrText>
      </w:r>
      <w:r>
        <w:fldChar w:fldCharType="separate"/>
      </w:r>
      <w:r>
        <w:t>38</w:t>
      </w:r>
      <w:r>
        <w:fldChar w:fldCharType="end"/>
      </w:r>
      <w:r>
        <w:fldChar w:fldCharType="end"/>
      </w:r>
    </w:p>
    <w:p>
      <w:pPr>
        <w:pStyle w:val="25"/>
        <w:tabs>
          <w:tab w:val="right" w:leader="dot" w:pos="8296"/>
        </w:tabs>
        <w:spacing w:line="360" w:lineRule="exact"/>
        <w:rPr>
          <w:rStyle w:val="38"/>
        </w:rPr>
      </w:pPr>
      <w:r>
        <w:fldChar w:fldCharType="begin"/>
      </w:r>
      <w:r>
        <w:instrText xml:space="preserve"> HYPERLINK \l "_Toc10105745" </w:instrText>
      </w:r>
      <w:r>
        <w:fldChar w:fldCharType="separate"/>
      </w:r>
      <w:r>
        <w:rPr>
          <w:rStyle w:val="38"/>
          <w:rFonts w:eastAsia="黑体"/>
          <w:b/>
          <w:snapToGrid w:val="0"/>
          <w:spacing w:val="4"/>
          <w:kern w:val="0"/>
        </w:rPr>
        <w:t>14.1附件</w:t>
      </w:r>
      <w:r>
        <w:tab/>
      </w:r>
      <w:r>
        <w:fldChar w:fldCharType="begin"/>
      </w:r>
      <w:r>
        <w:instrText xml:space="preserve"> PAGEREF _Toc10105745 \h </w:instrText>
      </w:r>
      <w:r>
        <w:fldChar w:fldCharType="separate"/>
      </w:r>
      <w:r>
        <w:t>38</w:t>
      </w:r>
      <w:r>
        <w:fldChar w:fldCharType="end"/>
      </w:r>
      <w:r>
        <w:fldChar w:fldCharType="end"/>
      </w:r>
    </w:p>
    <w:p>
      <w:pPr>
        <w:pStyle w:val="25"/>
        <w:tabs>
          <w:tab w:val="right" w:leader="dot" w:pos="8296"/>
        </w:tabs>
        <w:spacing w:line="360" w:lineRule="exact"/>
        <w:rPr>
          <w:rFonts w:asciiTheme="minorHAnsi" w:hAnsiTheme="minorHAnsi" w:eastAsiaTheme="minorEastAsia" w:cstheme="minorBidi"/>
          <w:szCs w:val="22"/>
        </w:rPr>
      </w:pPr>
      <w:r>
        <w:fldChar w:fldCharType="begin"/>
      </w:r>
      <w:r>
        <w:instrText xml:space="preserve"> HYPERLINK \l "_Toc10105751" </w:instrText>
      </w:r>
      <w:r>
        <w:fldChar w:fldCharType="separate"/>
      </w:r>
      <w:r>
        <w:rPr>
          <w:rStyle w:val="38"/>
          <w:rFonts w:hAnsi="宋体"/>
          <w:b/>
        </w:rPr>
        <w:t>附件</w:t>
      </w:r>
      <w:r>
        <w:rPr>
          <w:rStyle w:val="38"/>
          <w:b/>
        </w:rPr>
        <w:t>1</w:t>
      </w:r>
      <w:r>
        <w:rPr>
          <w:rStyle w:val="38"/>
          <w:rFonts w:hAnsi="宋体"/>
          <w:b/>
        </w:rPr>
        <w:t>：应急指挥通讯录</w:t>
      </w:r>
      <w:r>
        <w:tab/>
      </w:r>
      <w:r>
        <w:fldChar w:fldCharType="begin"/>
      </w:r>
      <w:r>
        <w:instrText xml:space="preserve"> PAGEREF _Toc10105751 \h </w:instrText>
      </w:r>
      <w:r>
        <w:fldChar w:fldCharType="separate"/>
      </w:r>
      <w:r>
        <w:t>39</w:t>
      </w:r>
      <w:r>
        <w:fldChar w:fldCharType="end"/>
      </w:r>
      <w:r>
        <w:fldChar w:fldCharType="end"/>
      </w:r>
    </w:p>
    <w:p>
      <w:pPr>
        <w:pStyle w:val="25"/>
        <w:tabs>
          <w:tab w:val="right" w:leader="dot" w:pos="8296"/>
        </w:tabs>
        <w:spacing w:line="360" w:lineRule="exact"/>
        <w:rPr>
          <w:rFonts w:asciiTheme="minorHAnsi" w:hAnsiTheme="minorHAnsi" w:eastAsiaTheme="minorEastAsia" w:cstheme="minorBidi"/>
          <w:szCs w:val="22"/>
        </w:rPr>
      </w:pPr>
      <w:r>
        <w:fldChar w:fldCharType="begin"/>
      </w:r>
      <w:r>
        <w:instrText xml:space="preserve"> HYPERLINK \l "_Toc10105752" </w:instrText>
      </w:r>
      <w:r>
        <w:fldChar w:fldCharType="separate"/>
      </w:r>
      <w:r>
        <w:rPr>
          <w:rStyle w:val="38"/>
          <w:rFonts w:hAnsi="宋体"/>
          <w:b/>
        </w:rPr>
        <w:t>附件2：应急物资一览表</w:t>
      </w:r>
      <w:r>
        <w:tab/>
      </w:r>
      <w:r>
        <w:fldChar w:fldCharType="begin"/>
      </w:r>
      <w:r>
        <w:instrText xml:space="preserve"> PAGEREF _Toc10105752 \h </w:instrText>
      </w:r>
      <w:r>
        <w:fldChar w:fldCharType="separate"/>
      </w:r>
      <w:r>
        <w:t>42</w:t>
      </w:r>
      <w:r>
        <w:fldChar w:fldCharType="end"/>
      </w:r>
      <w:r>
        <w:fldChar w:fldCharType="end"/>
      </w:r>
    </w:p>
    <w:p>
      <w:pPr>
        <w:pStyle w:val="25"/>
        <w:tabs>
          <w:tab w:val="right" w:leader="dot" w:pos="8296"/>
        </w:tabs>
        <w:spacing w:line="360" w:lineRule="exact"/>
        <w:rPr>
          <w:rFonts w:asciiTheme="minorHAnsi" w:hAnsiTheme="minorHAnsi" w:eastAsiaTheme="minorEastAsia" w:cstheme="minorBidi"/>
          <w:szCs w:val="22"/>
        </w:rPr>
      </w:pPr>
      <w:r>
        <w:fldChar w:fldCharType="begin"/>
      </w:r>
      <w:r>
        <w:instrText xml:space="preserve"> HYPERLINK \l "_Toc10105753" </w:instrText>
      </w:r>
      <w:r>
        <w:fldChar w:fldCharType="separate"/>
      </w:r>
      <w:r>
        <w:rPr>
          <w:rStyle w:val="38"/>
          <w:rFonts w:hAnsi="宋体"/>
          <w:b/>
        </w:rPr>
        <w:t>附件3  应急处置卡</w:t>
      </w:r>
      <w:r>
        <w:tab/>
      </w:r>
      <w:r>
        <w:fldChar w:fldCharType="begin"/>
      </w:r>
      <w:r>
        <w:instrText xml:space="preserve"> PAGEREF _Toc10105753 \h </w:instrText>
      </w:r>
      <w:r>
        <w:fldChar w:fldCharType="separate"/>
      </w:r>
      <w:r>
        <w:t>43</w:t>
      </w:r>
      <w:r>
        <w:fldChar w:fldCharType="end"/>
      </w:r>
      <w:r>
        <w:fldChar w:fldCharType="end"/>
      </w:r>
    </w:p>
    <w:p>
      <w:pPr>
        <w:pStyle w:val="25"/>
        <w:tabs>
          <w:tab w:val="right" w:leader="dot" w:pos="8296"/>
        </w:tabs>
        <w:spacing w:line="360" w:lineRule="exact"/>
        <w:rPr>
          <w:rFonts w:asciiTheme="minorHAnsi" w:hAnsiTheme="minorHAnsi" w:eastAsiaTheme="minorEastAsia" w:cstheme="minorBidi"/>
          <w:szCs w:val="22"/>
        </w:rPr>
      </w:pPr>
      <w:r>
        <w:fldChar w:fldCharType="begin"/>
      </w:r>
      <w:r>
        <w:instrText xml:space="preserve"> HYPERLINK \l "_Toc10105754" </w:instrText>
      </w:r>
      <w:r>
        <w:fldChar w:fldCharType="separate"/>
      </w:r>
      <w:r>
        <w:rPr>
          <w:rStyle w:val="38"/>
          <w:rFonts w:hAnsi="宋体"/>
          <w:b/>
        </w:rPr>
        <w:t>附件</w:t>
      </w:r>
      <w:r>
        <w:rPr>
          <w:rStyle w:val="38"/>
          <w:b/>
        </w:rPr>
        <w:t>4</w:t>
      </w:r>
      <w:r>
        <w:rPr>
          <w:rStyle w:val="38"/>
          <w:rFonts w:hAnsi="宋体"/>
          <w:b/>
        </w:rPr>
        <w:t>突发环境事件信息报告表</w:t>
      </w:r>
      <w:r>
        <w:tab/>
      </w:r>
      <w:r>
        <w:fldChar w:fldCharType="begin"/>
      </w:r>
      <w:r>
        <w:instrText xml:space="preserve"> PAGEREF _Toc10105754 \h </w:instrText>
      </w:r>
      <w:r>
        <w:fldChar w:fldCharType="separate"/>
      </w:r>
      <w:r>
        <w:t>45</w:t>
      </w:r>
      <w:r>
        <w:fldChar w:fldCharType="end"/>
      </w:r>
      <w:r>
        <w:fldChar w:fldCharType="end"/>
      </w:r>
    </w:p>
    <w:p>
      <w:pPr>
        <w:pStyle w:val="25"/>
        <w:tabs>
          <w:tab w:val="right" w:leader="dot" w:pos="8296"/>
        </w:tabs>
        <w:spacing w:line="360" w:lineRule="exact"/>
        <w:rPr>
          <w:rFonts w:asciiTheme="minorHAnsi" w:hAnsiTheme="minorHAnsi" w:eastAsiaTheme="minorEastAsia" w:cstheme="minorBidi"/>
          <w:szCs w:val="22"/>
        </w:rPr>
      </w:pPr>
      <w:r>
        <w:fldChar w:fldCharType="begin"/>
      </w:r>
      <w:r>
        <w:instrText xml:space="preserve"> HYPERLINK \l "_Toc10105755" </w:instrText>
      </w:r>
      <w:r>
        <w:fldChar w:fldCharType="separate"/>
      </w:r>
      <w:r>
        <w:rPr>
          <w:rStyle w:val="38"/>
          <w:rFonts w:hAnsi="宋体"/>
          <w:b/>
        </w:rPr>
        <w:t>附件</w:t>
      </w:r>
      <w:r>
        <w:rPr>
          <w:rStyle w:val="38"/>
          <w:b/>
          <w:bCs/>
        </w:rPr>
        <w:t xml:space="preserve">5 </w:t>
      </w:r>
      <w:r>
        <w:rPr>
          <w:rStyle w:val="38"/>
          <w:rFonts w:hAnsi="宋体"/>
          <w:b/>
        </w:rPr>
        <w:t>突发环境事件应急预案演练记录表</w:t>
      </w:r>
      <w:r>
        <w:tab/>
      </w:r>
      <w:r>
        <w:fldChar w:fldCharType="begin"/>
      </w:r>
      <w:r>
        <w:instrText xml:space="preserve"> PAGEREF _Toc10105755 \h </w:instrText>
      </w:r>
      <w:r>
        <w:fldChar w:fldCharType="separate"/>
      </w:r>
      <w:r>
        <w:t>46</w:t>
      </w:r>
      <w:r>
        <w:fldChar w:fldCharType="end"/>
      </w:r>
      <w:r>
        <w:fldChar w:fldCharType="end"/>
      </w:r>
    </w:p>
    <w:p>
      <w:pPr>
        <w:pStyle w:val="25"/>
        <w:tabs>
          <w:tab w:val="right" w:leader="dot" w:pos="8296"/>
        </w:tabs>
        <w:spacing w:line="360" w:lineRule="exact"/>
        <w:rPr>
          <w:rStyle w:val="38"/>
          <w:rFonts w:hAnsi="宋体"/>
          <w:b/>
        </w:rPr>
      </w:pPr>
      <w:r>
        <w:fldChar w:fldCharType="begin"/>
      </w:r>
      <w:r>
        <w:instrText xml:space="preserve"> HYPERLINK \l "_Toc10105746" </w:instrText>
      </w:r>
      <w:r>
        <w:fldChar w:fldCharType="separate"/>
      </w:r>
      <w:r>
        <w:rPr>
          <w:rStyle w:val="38"/>
          <w:rFonts w:hAnsi="宋体"/>
          <w:b/>
        </w:rPr>
        <w:t>14.2附图</w:t>
      </w:r>
      <w:r>
        <w:rPr>
          <w:rStyle w:val="38"/>
          <w:rFonts w:hAnsi="宋体"/>
          <w:b/>
        </w:rPr>
        <w:tab/>
      </w:r>
      <w:r>
        <w:rPr>
          <w:rStyle w:val="38"/>
          <w:rFonts w:hAnsi="宋体"/>
          <w:b/>
        </w:rPr>
        <w:t>58</w:t>
      </w:r>
      <w:r>
        <w:rPr>
          <w:rStyle w:val="38"/>
          <w:rFonts w:hAnsi="宋体"/>
          <w:b/>
        </w:rPr>
        <w:fldChar w:fldCharType="end"/>
      </w:r>
    </w:p>
    <w:p>
      <w:pPr>
        <w:pStyle w:val="25"/>
        <w:tabs>
          <w:tab w:val="right" w:leader="dot" w:pos="8296"/>
        </w:tabs>
        <w:spacing w:line="360" w:lineRule="exact"/>
        <w:rPr>
          <w:rStyle w:val="38"/>
          <w:rFonts w:hAnsi="宋体"/>
          <w:b/>
        </w:rPr>
      </w:pPr>
      <w:r>
        <w:fldChar w:fldCharType="begin"/>
      </w:r>
      <w:r>
        <w:instrText xml:space="preserve"> HYPERLINK \l "_Toc10105747" </w:instrText>
      </w:r>
      <w:r>
        <w:fldChar w:fldCharType="separate"/>
      </w:r>
      <w:r>
        <w:rPr>
          <w:rStyle w:val="38"/>
          <w:rFonts w:hAnsi="宋体"/>
          <w:b/>
        </w:rPr>
        <w:t>附图1  企业地理位置示意图</w:t>
      </w:r>
      <w:r>
        <w:rPr>
          <w:rStyle w:val="38"/>
          <w:rFonts w:hAnsi="宋体"/>
          <w:b/>
        </w:rPr>
        <w:tab/>
      </w:r>
      <w:r>
        <w:rPr>
          <w:rStyle w:val="38"/>
          <w:rFonts w:hAnsi="宋体"/>
          <w:b/>
        </w:rPr>
        <w:t>58</w:t>
      </w:r>
      <w:r>
        <w:rPr>
          <w:rStyle w:val="38"/>
          <w:rFonts w:hAnsi="宋体"/>
          <w:b/>
        </w:rPr>
        <w:fldChar w:fldCharType="end"/>
      </w:r>
    </w:p>
    <w:p>
      <w:pPr>
        <w:pStyle w:val="25"/>
        <w:tabs>
          <w:tab w:val="right" w:leader="dot" w:pos="8296"/>
        </w:tabs>
        <w:spacing w:line="360" w:lineRule="exact"/>
        <w:rPr>
          <w:rStyle w:val="38"/>
          <w:rFonts w:hAnsi="宋体"/>
          <w:b/>
        </w:rPr>
      </w:pPr>
      <w:r>
        <w:fldChar w:fldCharType="begin"/>
      </w:r>
      <w:r>
        <w:instrText xml:space="preserve"> HYPERLINK \l "_Toc10105748" </w:instrText>
      </w:r>
      <w:r>
        <w:fldChar w:fldCharType="separate"/>
      </w:r>
      <w:r>
        <w:rPr>
          <w:rStyle w:val="38"/>
          <w:rFonts w:hAnsi="宋体"/>
          <w:b/>
        </w:rPr>
        <w:t>附图2  企业周边500米环境风险受体分布示意图</w:t>
      </w:r>
      <w:r>
        <w:rPr>
          <w:rStyle w:val="38"/>
          <w:rFonts w:hAnsi="宋体"/>
          <w:b/>
        </w:rPr>
        <w:tab/>
      </w:r>
      <w:r>
        <w:rPr>
          <w:rStyle w:val="38"/>
          <w:rFonts w:hAnsi="宋体"/>
          <w:b/>
        </w:rPr>
        <w:t>59</w:t>
      </w:r>
      <w:r>
        <w:rPr>
          <w:rStyle w:val="38"/>
          <w:rFonts w:hAnsi="宋体"/>
          <w:b/>
        </w:rPr>
        <w:fldChar w:fldCharType="end"/>
      </w:r>
    </w:p>
    <w:p>
      <w:pPr>
        <w:pStyle w:val="25"/>
        <w:tabs>
          <w:tab w:val="right" w:leader="dot" w:pos="8296"/>
        </w:tabs>
        <w:spacing w:line="360" w:lineRule="exact"/>
        <w:rPr>
          <w:rStyle w:val="38"/>
          <w:rFonts w:hAnsi="宋体"/>
          <w:b/>
        </w:rPr>
      </w:pPr>
      <w:r>
        <w:fldChar w:fldCharType="begin"/>
      </w:r>
      <w:r>
        <w:instrText xml:space="preserve"> HYPERLINK \l "_Toc10105750" </w:instrText>
      </w:r>
      <w:r>
        <w:fldChar w:fldCharType="separate"/>
      </w:r>
      <w:r>
        <w:rPr>
          <w:rStyle w:val="38"/>
          <w:rFonts w:hAnsi="宋体"/>
          <w:b/>
        </w:rPr>
        <w:t>附图</w:t>
      </w:r>
      <w:r>
        <w:rPr>
          <w:rStyle w:val="38"/>
          <w:rFonts w:hint="eastAsia" w:hAnsi="宋体"/>
          <w:b/>
          <w:lang w:val="en-US" w:eastAsia="zh-CN"/>
        </w:rPr>
        <w:t>3</w:t>
      </w:r>
      <w:r>
        <w:rPr>
          <w:rStyle w:val="38"/>
          <w:rFonts w:hAnsi="宋体"/>
          <w:b/>
        </w:rPr>
        <w:t xml:space="preserve">  企业平面布置、风险目标、雨水管网、应急设施分布示意图</w:t>
      </w:r>
      <w:r>
        <w:rPr>
          <w:rStyle w:val="38"/>
          <w:rFonts w:hAnsi="宋体"/>
          <w:b/>
        </w:rPr>
        <w:tab/>
      </w:r>
      <w:r>
        <w:rPr>
          <w:rStyle w:val="38"/>
          <w:rFonts w:hAnsi="宋体"/>
          <w:b/>
        </w:rPr>
        <w:t>61</w:t>
      </w:r>
      <w:r>
        <w:rPr>
          <w:rStyle w:val="38"/>
          <w:rFonts w:hAnsi="宋体"/>
          <w:b/>
        </w:rPr>
        <w:fldChar w:fldCharType="end"/>
      </w:r>
    </w:p>
    <w:p>
      <w:pPr>
        <w:spacing w:line="360" w:lineRule="exact"/>
        <w:rPr>
          <w:sz w:val="24"/>
        </w:rPr>
      </w:pPr>
      <w:r>
        <w:rPr>
          <w:sz w:val="24"/>
        </w:rPr>
        <w:fldChar w:fldCharType="end"/>
      </w:r>
    </w:p>
    <w:p>
      <w:pPr>
        <w:spacing w:line="500" w:lineRule="exact"/>
        <w:ind w:firstLine="560" w:firstLineChars="200"/>
        <w:rPr>
          <w:rFonts w:ascii="宋体" w:hAnsi="宋体"/>
          <w:sz w:val="28"/>
          <w:szCs w:val="28"/>
        </w:rPr>
        <w:sectPr>
          <w:footerReference r:id="rId5" w:type="default"/>
          <w:pgSz w:w="11906" w:h="16838"/>
          <w:pgMar w:top="1440" w:right="1800" w:bottom="1440" w:left="1800" w:header="851" w:footer="992" w:gutter="0"/>
          <w:pgNumType w:fmt="upperRoman" w:start="1"/>
          <w:cols w:space="425" w:num="1"/>
          <w:docGrid w:type="lines" w:linePitch="312" w:charSpace="0"/>
        </w:sectPr>
      </w:pPr>
    </w:p>
    <w:p>
      <w:pPr>
        <w:outlineLvl w:val="0"/>
        <w:rPr>
          <w:rFonts w:eastAsia="楷体"/>
          <w:b/>
          <w:snapToGrid w:val="0"/>
          <w:spacing w:val="4"/>
          <w:kern w:val="0"/>
          <w:sz w:val="30"/>
          <w:szCs w:val="32"/>
        </w:rPr>
      </w:pPr>
      <w:bookmarkStart w:id="3" w:name="_Toc10105634"/>
      <w:r>
        <w:rPr>
          <w:rFonts w:eastAsia="楷体"/>
          <w:b/>
          <w:snapToGrid w:val="0"/>
          <w:spacing w:val="4"/>
          <w:kern w:val="0"/>
          <w:sz w:val="30"/>
          <w:szCs w:val="32"/>
        </w:rPr>
        <w:t>1</w:t>
      </w:r>
      <w:r>
        <w:rPr>
          <w:rFonts w:hint="eastAsia" w:eastAsia="楷体"/>
          <w:b/>
          <w:snapToGrid w:val="0"/>
          <w:spacing w:val="4"/>
          <w:kern w:val="0"/>
          <w:sz w:val="30"/>
          <w:szCs w:val="32"/>
        </w:rPr>
        <w:t xml:space="preserve"> </w:t>
      </w:r>
      <w:r>
        <w:rPr>
          <w:rFonts w:eastAsia="楷体"/>
          <w:b/>
          <w:snapToGrid w:val="0"/>
          <w:spacing w:val="4"/>
          <w:kern w:val="0"/>
          <w:sz w:val="30"/>
          <w:szCs w:val="32"/>
        </w:rPr>
        <w:t>总则</w:t>
      </w:r>
      <w:bookmarkEnd w:id="3"/>
    </w:p>
    <w:p>
      <w:pPr>
        <w:spacing w:before="60" w:after="60" w:line="500" w:lineRule="exact"/>
        <w:outlineLvl w:val="1"/>
        <w:rPr>
          <w:rFonts w:eastAsia="黑体"/>
          <w:b/>
          <w:snapToGrid w:val="0"/>
          <w:spacing w:val="4"/>
          <w:kern w:val="0"/>
          <w:sz w:val="28"/>
          <w:szCs w:val="30"/>
        </w:rPr>
      </w:pPr>
      <w:bookmarkStart w:id="4" w:name="_Toc336596904"/>
      <w:bookmarkStart w:id="5" w:name="_Toc336595382"/>
      <w:bookmarkStart w:id="6" w:name="_Toc336595746"/>
      <w:bookmarkStart w:id="7" w:name="_Toc484163899"/>
      <w:bookmarkStart w:id="8" w:name="_Toc10105635"/>
      <w:bookmarkStart w:id="9" w:name="_Toc336595861"/>
      <w:r>
        <w:rPr>
          <w:rFonts w:eastAsia="黑体"/>
          <w:b/>
          <w:snapToGrid w:val="0"/>
          <w:spacing w:val="4"/>
          <w:kern w:val="0"/>
          <w:sz w:val="28"/>
          <w:szCs w:val="30"/>
        </w:rPr>
        <w:t>1.1编制目的</w:t>
      </w:r>
      <w:bookmarkEnd w:id="4"/>
      <w:bookmarkEnd w:id="5"/>
      <w:bookmarkEnd w:id="6"/>
      <w:bookmarkEnd w:id="7"/>
      <w:bookmarkEnd w:id="8"/>
      <w:bookmarkEnd w:id="9"/>
    </w:p>
    <w:p>
      <w:pPr>
        <w:spacing w:line="480" w:lineRule="exact"/>
        <w:ind w:firstLine="480" w:firstLineChars="200"/>
        <w:rPr>
          <w:sz w:val="24"/>
        </w:rPr>
      </w:pPr>
      <w:bookmarkStart w:id="10" w:name="_Toc336595862"/>
      <w:bookmarkStart w:id="11" w:name="_Toc336595383"/>
      <w:bookmarkStart w:id="12" w:name="_Toc336596905"/>
      <w:bookmarkStart w:id="13" w:name="_Toc336595747"/>
      <w:r>
        <w:rPr>
          <w:sz w:val="24"/>
        </w:rPr>
        <w:t>为贯彻落实《中华人民共和国环境保护法》</w:t>
      </w:r>
      <w:r>
        <w:rPr>
          <w:rFonts w:hint="eastAsia"/>
          <w:sz w:val="24"/>
        </w:rPr>
        <w:t>、</w:t>
      </w:r>
      <w:r>
        <w:rPr>
          <w:sz w:val="24"/>
        </w:rPr>
        <w:t>《中华人民共和国突发事件应对法》、《国家突发环境事件应急预案》</w:t>
      </w:r>
      <w:r>
        <w:rPr>
          <w:rFonts w:hint="eastAsia"/>
          <w:sz w:val="24"/>
        </w:rPr>
        <w:t>、</w:t>
      </w:r>
      <w:r>
        <w:rPr>
          <w:sz w:val="24"/>
        </w:rPr>
        <w:t>《企业事业单位突发环境事件应急预案备案管理办法（试行）》等相关法律、法规和规章要求，建立健</w:t>
      </w:r>
      <w:r>
        <w:rPr>
          <w:color w:val="000000" w:themeColor="text1"/>
          <w:sz w:val="24"/>
          <w14:textFill>
            <w14:solidFill>
              <w14:schemeClr w14:val="tx1"/>
            </w14:solidFill>
          </w14:textFill>
        </w:rPr>
        <w:t>全</w:t>
      </w:r>
      <w:r>
        <w:rPr>
          <w:rFonts w:hint="eastAsia" w:hAnsi="宋体"/>
          <w:color w:val="FF0000"/>
          <w:sz w:val="24"/>
          <w:lang w:eastAsia="zh-CN"/>
        </w:rPr>
        <w:t>中国石化销售股份有限公司江西南昌红谷滩石油分公司世纪星加油站</w:t>
      </w:r>
      <w:r>
        <w:rPr>
          <w:color w:val="000000" w:themeColor="text1"/>
          <w:sz w:val="24"/>
          <w14:textFill>
            <w14:solidFill>
              <w14:schemeClr w14:val="tx1"/>
            </w14:solidFill>
          </w14:textFill>
        </w:rPr>
        <w:t>应急救援体系，提高企业对突发环境事件的预防、应急响应和处置能力，通过实施有效的预防和监控措施，尽可能地避免和减少突发环境事件的发生，通过对突发环境事件的迅速响应和开展有效的应急行动，有效消除、降低突</w:t>
      </w:r>
      <w:r>
        <w:rPr>
          <w:sz w:val="24"/>
        </w:rPr>
        <w:t>发环境事件的污染危害和影响，特制定本预案。</w:t>
      </w:r>
    </w:p>
    <w:p>
      <w:pPr>
        <w:spacing w:before="60" w:after="60" w:line="480" w:lineRule="exact"/>
        <w:outlineLvl w:val="1"/>
        <w:rPr>
          <w:rFonts w:eastAsia="黑体"/>
          <w:b/>
          <w:snapToGrid w:val="0"/>
          <w:spacing w:val="4"/>
          <w:kern w:val="0"/>
          <w:sz w:val="28"/>
          <w:szCs w:val="30"/>
        </w:rPr>
      </w:pPr>
      <w:bookmarkStart w:id="14" w:name="_Toc484163900"/>
      <w:bookmarkStart w:id="15" w:name="_Toc10105636"/>
      <w:r>
        <w:rPr>
          <w:rFonts w:eastAsia="黑体"/>
          <w:b/>
          <w:snapToGrid w:val="0"/>
          <w:spacing w:val="4"/>
          <w:kern w:val="0"/>
          <w:sz w:val="28"/>
          <w:szCs w:val="30"/>
        </w:rPr>
        <w:t>1.2编制依据</w:t>
      </w:r>
      <w:bookmarkEnd w:id="10"/>
      <w:bookmarkEnd w:id="11"/>
      <w:bookmarkEnd w:id="12"/>
      <w:bookmarkEnd w:id="13"/>
      <w:bookmarkEnd w:id="14"/>
      <w:bookmarkEnd w:id="15"/>
    </w:p>
    <w:p>
      <w:pPr>
        <w:widowControl/>
        <w:spacing w:line="480" w:lineRule="exact"/>
        <w:ind w:firstLine="496" w:firstLineChars="200"/>
        <w:rPr>
          <w:snapToGrid w:val="0"/>
          <w:spacing w:val="4"/>
          <w:kern w:val="0"/>
          <w:sz w:val="24"/>
          <w:szCs w:val="22"/>
        </w:rPr>
      </w:pPr>
      <w:bookmarkStart w:id="16" w:name="_Toc336595384"/>
      <w:bookmarkStart w:id="17" w:name="_Toc484163901"/>
      <w:bookmarkStart w:id="18" w:name="_Toc336596906"/>
      <w:bookmarkStart w:id="19" w:name="_Toc336595863"/>
      <w:bookmarkStart w:id="20" w:name="_Toc336595748"/>
      <w:r>
        <w:rPr>
          <w:snapToGrid w:val="0"/>
          <w:spacing w:val="4"/>
          <w:kern w:val="0"/>
          <w:sz w:val="24"/>
          <w:szCs w:val="22"/>
        </w:rPr>
        <w:t>（1）《中华人民共和国环境保护法》（2015年1月1日施行）；</w:t>
      </w:r>
    </w:p>
    <w:p>
      <w:pPr>
        <w:widowControl/>
        <w:spacing w:line="480" w:lineRule="exact"/>
        <w:ind w:firstLine="496" w:firstLineChars="200"/>
        <w:rPr>
          <w:snapToGrid w:val="0"/>
          <w:spacing w:val="4"/>
          <w:kern w:val="0"/>
          <w:sz w:val="24"/>
          <w:szCs w:val="22"/>
        </w:rPr>
      </w:pPr>
      <w:r>
        <w:rPr>
          <w:snapToGrid w:val="0"/>
          <w:spacing w:val="4"/>
          <w:kern w:val="0"/>
          <w:sz w:val="24"/>
          <w:szCs w:val="22"/>
        </w:rPr>
        <w:t>（2）《中华人民共和国固体废物污染环境防治法》（201</w:t>
      </w:r>
      <w:r>
        <w:rPr>
          <w:rFonts w:hint="eastAsia"/>
          <w:snapToGrid w:val="0"/>
          <w:spacing w:val="4"/>
          <w:kern w:val="0"/>
          <w:sz w:val="24"/>
          <w:szCs w:val="22"/>
        </w:rPr>
        <w:t>6</w:t>
      </w:r>
      <w:r>
        <w:rPr>
          <w:snapToGrid w:val="0"/>
          <w:spacing w:val="4"/>
          <w:kern w:val="0"/>
          <w:sz w:val="24"/>
          <w:szCs w:val="22"/>
        </w:rPr>
        <w:t>年</w:t>
      </w:r>
      <w:r>
        <w:rPr>
          <w:rFonts w:hint="eastAsia"/>
          <w:snapToGrid w:val="0"/>
          <w:spacing w:val="4"/>
          <w:kern w:val="0"/>
          <w:sz w:val="24"/>
          <w:szCs w:val="22"/>
        </w:rPr>
        <w:t>11</w:t>
      </w:r>
      <w:r>
        <w:rPr>
          <w:snapToGrid w:val="0"/>
          <w:spacing w:val="4"/>
          <w:kern w:val="0"/>
          <w:sz w:val="24"/>
          <w:szCs w:val="22"/>
        </w:rPr>
        <w:t>月</w:t>
      </w:r>
      <w:r>
        <w:rPr>
          <w:rFonts w:hint="eastAsia"/>
          <w:snapToGrid w:val="0"/>
          <w:spacing w:val="4"/>
          <w:kern w:val="0"/>
          <w:sz w:val="24"/>
          <w:szCs w:val="22"/>
        </w:rPr>
        <w:t>7</w:t>
      </w:r>
      <w:r>
        <w:rPr>
          <w:snapToGrid w:val="0"/>
          <w:spacing w:val="4"/>
          <w:kern w:val="0"/>
          <w:sz w:val="24"/>
          <w:szCs w:val="22"/>
        </w:rPr>
        <w:t>日施行）；</w:t>
      </w:r>
    </w:p>
    <w:p>
      <w:pPr>
        <w:widowControl/>
        <w:spacing w:line="480" w:lineRule="exact"/>
        <w:ind w:firstLine="496" w:firstLineChars="200"/>
        <w:rPr>
          <w:snapToGrid w:val="0"/>
          <w:spacing w:val="4"/>
          <w:kern w:val="0"/>
          <w:sz w:val="24"/>
          <w:szCs w:val="22"/>
        </w:rPr>
      </w:pPr>
      <w:r>
        <w:rPr>
          <w:snapToGrid w:val="0"/>
          <w:spacing w:val="4"/>
          <w:kern w:val="0"/>
          <w:sz w:val="24"/>
          <w:szCs w:val="22"/>
        </w:rPr>
        <w:t>（3）《中华人民共和国水污染防治法》（201</w:t>
      </w:r>
      <w:r>
        <w:rPr>
          <w:rFonts w:hint="eastAsia"/>
          <w:snapToGrid w:val="0"/>
          <w:spacing w:val="4"/>
          <w:kern w:val="0"/>
          <w:sz w:val="24"/>
          <w:szCs w:val="22"/>
        </w:rPr>
        <w:t>8</w:t>
      </w:r>
      <w:r>
        <w:rPr>
          <w:snapToGrid w:val="0"/>
          <w:spacing w:val="4"/>
          <w:kern w:val="0"/>
          <w:sz w:val="24"/>
          <w:szCs w:val="22"/>
        </w:rPr>
        <w:t>年</w:t>
      </w:r>
      <w:r>
        <w:rPr>
          <w:rFonts w:hint="eastAsia"/>
          <w:snapToGrid w:val="0"/>
          <w:spacing w:val="4"/>
          <w:kern w:val="0"/>
          <w:sz w:val="24"/>
          <w:szCs w:val="22"/>
        </w:rPr>
        <w:t>1</w:t>
      </w:r>
      <w:r>
        <w:rPr>
          <w:snapToGrid w:val="0"/>
          <w:spacing w:val="4"/>
          <w:kern w:val="0"/>
          <w:sz w:val="24"/>
          <w:szCs w:val="22"/>
        </w:rPr>
        <w:t>月</w:t>
      </w:r>
      <w:r>
        <w:rPr>
          <w:rFonts w:hint="eastAsia"/>
          <w:snapToGrid w:val="0"/>
          <w:spacing w:val="4"/>
          <w:kern w:val="0"/>
          <w:sz w:val="24"/>
          <w:szCs w:val="22"/>
        </w:rPr>
        <w:t>1</w:t>
      </w:r>
      <w:r>
        <w:rPr>
          <w:snapToGrid w:val="0"/>
          <w:spacing w:val="4"/>
          <w:kern w:val="0"/>
          <w:sz w:val="24"/>
          <w:szCs w:val="22"/>
        </w:rPr>
        <w:t>日施行）；</w:t>
      </w:r>
    </w:p>
    <w:p>
      <w:pPr>
        <w:widowControl/>
        <w:spacing w:line="480" w:lineRule="exact"/>
        <w:ind w:firstLine="496" w:firstLineChars="200"/>
        <w:rPr>
          <w:snapToGrid w:val="0"/>
          <w:spacing w:val="4"/>
          <w:kern w:val="0"/>
          <w:sz w:val="24"/>
          <w:szCs w:val="22"/>
        </w:rPr>
      </w:pPr>
      <w:r>
        <w:rPr>
          <w:snapToGrid w:val="0"/>
          <w:spacing w:val="4"/>
          <w:kern w:val="0"/>
          <w:sz w:val="24"/>
          <w:szCs w:val="22"/>
        </w:rPr>
        <w:t>（4）《中华人民共和国大气污染防治法》（2016年1月1日实施）；</w:t>
      </w:r>
    </w:p>
    <w:p>
      <w:pPr>
        <w:widowControl/>
        <w:spacing w:line="480" w:lineRule="exact"/>
        <w:ind w:firstLine="496" w:firstLineChars="200"/>
        <w:rPr>
          <w:snapToGrid w:val="0"/>
          <w:spacing w:val="4"/>
          <w:kern w:val="0"/>
          <w:sz w:val="24"/>
          <w:szCs w:val="22"/>
        </w:rPr>
      </w:pPr>
      <w:r>
        <w:rPr>
          <w:snapToGrid w:val="0"/>
          <w:spacing w:val="4"/>
          <w:kern w:val="0"/>
          <w:sz w:val="24"/>
          <w:szCs w:val="22"/>
        </w:rPr>
        <w:t>（5）《中华人民共和国突发事件应对法》（2007年11月1日施行）；</w:t>
      </w:r>
    </w:p>
    <w:p>
      <w:pPr>
        <w:widowControl/>
        <w:spacing w:line="480" w:lineRule="exact"/>
        <w:ind w:firstLine="496" w:firstLineChars="200"/>
        <w:rPr>
          <w:snapToGrid w:val="0"/>
          <w:spacing w:val="4"/>
          <w:kern w:val="0"/>
          <w:sz w:val="24"/>
          <w:szCs w:val="22"/>
        </w:rPr>
      </w:pPr>
      <w:r>
        <w:rPr>
          <w:snapToGrid w:val="0"/>
          <w:spacing w:val="4"/>
          <w:kern w:val="0"/>
          <w:sz w:val="24"/>
          <w:szCs w:val="22"/>
        </w:rPr>
        <w:t>（6）《中华人民共和国安全生产法》（2014年12月1日施行）；</w:t>
      </w:r>
    </w:p>
    <w:p>
      <w:pPr>
        <w:widowControl/>
        <w:spacing w:line="480" w:lineRule="exact"/>
        <w:ind w:firstLine="496" w:firstLineChars="200"/>
        <w:rPr>
          <w:snapToGrid w:val="0"/>
          <w:spacing w:val="4"/>
          <w:kern w:val="0"/>
          <w:sz w:val="24"/>
          <w:szCs w:val="22"/>
        </w:rPr>
      </w:pPr>
      <w:r>
        <w:rPr>
          <w:snapToGrid w:val="0"/>
          <w:spacing w:val="4"/>
          <w:kern w:val="0"/>
          <w:sz w:val="24"/>
          <w:szCs w:val="22"/>
        </w:rPr>
        <w:t>（7）《中华人民共和国消防法》（2009年5月1日施行）；</w:t>
      </w:r>
    </w:p>
    <w:p>
      <w:pPr>
        <w:widowControl/>
        <w:spacing w:line="480" w:lineRule="exact"/>
        <w:ind w:firstLine="496" w:firstLineChars="200"/>
        <w:rPr>
          <w:snapToGrid w:val="0"/>
          <w:spacing w:val="4"/>
          <w:kern w:val="0"/>
          <w:sz w:val="24"/>
          <w:szCs w:val="22"/>
        </w:rPr>
      </w:pPr>
      <w:r>
        <w:rPr>
          <w:snapToGrid w:val="0"/>
          <w:spacing w:val="4"/>
          <w:kern w:val="0"/>
          <w:sz w:val="24"/>
          <w:szCs w:val="22"/>
        </w:rPr>
        <w:t>（8）《危险化学品安全管理条例》（2013年12月7日施行）；</w:t>
      </w:r>
    </w:p>
    <w:p>
      <w:pPr>
        <w:widowControl/>
        <w:spacing w:line="480" w:lineRule="exact"/>
        <w:ind w:firstLine="496" w:firstLineChars="200"/>
        <w:rPr>
          <w:snapToGrid w:val="0"/>
          <w:spacing w:val="4"/>
          <w:kern w:val="0"/>
          <w:sz w:val="24"/>
          <w:szCs w:val="22"/>
        </w:rPr>
      </w:pPr>
      <w:r>
        <w:rPr>
          <w:snapToGrid w:val="0"/>
          <w:spacing w:val="4"/>
          <w:kern w:val="0"/>
          <w:sz w:val="24"/>
          <w:szCs w:val="22"/>
        </w:rPr>
        <w:t>（9）《国务院关于加强环境保护重点工作的意见》（国发</w:t>
      </w:r>
      <w:r>
        <w:rPr>
          <w:rFonts w:hint="eastAsia"/>
          <w:snapToGrid w:val="0"/>
          <w:spacing w:val="4"/>
          <w:kern w:val="0"/>
          <w:sz w:val="24"/>
          <w:szCs w:val="22"/>
        </w:rPr>
        <w:t>〔</w:t>
      </w:r>
      <w:r>
        <w:rPr>
          <w:snapToGrid w:val="0"/>
          <w:spacing w:val="4"/>
          <w:kern w:val="0"/>
          <w:sz w:val="24"/>
          <w:szCs w:val="22"/>
        </w:rPr>
        <w:t>2011</w:t>
      </w:r>
      <w:r>
        <w:rPr>
          <w:rFonts w:hint="eastAsia"/>
          <w:snapToGrid w:val="0"/>
          <w:spacing w:val="4"/>
          <w:kern w:val="0"/>
          <w:sz w:val="24"/>
          <w:szCs w:val="22"/>
        </w:rPr>
        <w:t>〕</w:t>
      </w:r>
      <w:r>
        <w:rPr>
          <w:snapToGrid w:val="0"/>
          <w:spacing w:val="4"/>
          <w:kern w:val="0"/>
          <w:sz w:val="24"/>
          <w:szCs w:val="22"/>
        </w:rPr>
        <w:t>35号）；</w:t>
      </w:r>
    </w:p>
    <w:p>
      <w:pPr>
        <w:widowControl/>
        <w:spacing w:line="480" w:lineRule="exact"/>
        <w:ind w:firstLine="496" w:firstLineChars="200"/>
        <w:rPr>
          <w:snapToGrid w:val="0"/>
          <w:spacing w:val="4"/>
          <w:kern w:val="0"/>
          <w:sz w:val="24"/>
          <w:szCs w:val="22"/>
        </w:rPr>
      </w:pPr>
      <w:r>
        <w:rPr>
          <w:snapToGrid w:val="0"/>
          <w:spacing w:val="4"/>
          <w:kern w:val="0"/>
          <w:sz w:val="24"/>
          <w:szCs w:val="22"/>
        </w:rPr>
        <w:t>（10）《危险化学品环境管理登记办法》2013年3月1日施行；</w:t>
      </w:r>
    </w:p>
    <w:p>
      <w:pPr>
        <w:widowControl/>
        <w:spacing w:line="480" w:lineRule="exact"/>
        <w:ind w:firstLine="496" w:firstLineChars="200"/>
        <w:rPr>
          <w:snapToGrid w:val="0"/>
          <w:spacing w:val="4"/>
          <w:kern w:val="0"/>
          <w:sz w:val="24"/>
          <w:szCs w:val="22"/>
        </w:rPr>
      </w:pPr>
      <w:r>
        <w:rPr>
          <w:snapToGrid w:val="0"/>
          <w:spacing w:val="4"/>
          <w:kern w:val="0"/>
          <w:sz w:val="24"/>
          <w:szCs w:val="22"/>
        </w:rPr>
        <w:t>（11）《突发环境事件信息报告办法》</w:t>
      </w:r>
      <w:r>
        <w:rPr>
          <w:rFonts w:hint="eastAsia"/>
          <w:snapToGrid w:val="0"/>
          <w:spacing w:val="4"/>
          <w:kern w:val="0"/>
          <w:sz w:val="24"/>
          <w:szCs w:val="22"/>
        </w:rPr>
        <w:t>（</w:t>
      </w:r>
      <w:r>
        <w:rPr>
          <w:snapToGrid w:val="0"/>
          <w:spacing w:val="4"/>
          <w:kern w:val="0"/>
          <w:sz w:val="24"/>
          <w:szCs w:val="22"/>
        </w:rPr>
        <w:t>环保部令第17号</w:t>
      </w:r>
      <w:r>
        <w:rPr>
          <w:rFonts w:hint="eastAsia"/>
          <w:snapToGrid w:val="0"/>
          <w:spacing w:val="4"/>
          <w:kern w:val="0"/>
          <w:sz w:val="24"/>
          <w:szCs w:val="22"/>
        </w:rPr>
        <w:t>）</w:t>
      </w:r>
      <w:r>
        <w:rPr>
          <w:snapToGrid w:val="0"/>
          <w:spacing w:val="4"/>
          <w:kern w:val="0"/>
          <w:sz w:val="24"/>
          <w:szCs w:val="22"/>
        </w:rPr>
        <w:t>；</w:t>
      </w:r>
    </w:p>
    <w:p>
      <w:pPr>
        <w:widowControl/>
        <w:spacing w:line="480" w:lineRule="exact"/>
        <w:ind w:firstLine="496" w:firstLineChars="200"/>
        <w:rPr>
          <w:snapToGrid w:val="0"/>
          <w:spacing w:val="4"/>
          <w:kern w:val="0"/>
          <w:sz w:val="24"/>
          <w:szCs w:val="22"/>
        </w:rPr>
      </w:pPr>
      <w:r>
        <w:rPr>
          <w:snapToGrid w:val="0"/>
          <w:spacing w:val="4"/>
          <w:kern w:val="0"/>
          <w:sz w:val="24"/>
          <w:szCs w:val="22"/>
        </w:rPr>
        <w:t>（12）《突发事件应急预案管理办法》（国办发</w:t>
      </w:r>
      <w:r>
        <w:rPr>
          <w:rFonts w:hint="eastAsia"/>
          <w:snapToGrid w:val="0"/>
          <w:spacing w:val="4"/>
          <w:kern w:val="0"/>
          <w:sz w:val="24"/>
          <w:szCs w:val="22"/>
        </w:rPr>
        <w:t>〔</w:t>
      </w:r>
      <w:r>
        <w:rPr>
          <w:snapToGrid w:val="0"/>
          <w:spacing w:val="4"/>
          <w:kern w:val="0"/>
          <w:sz w:val="24"/>
          <w:szCs w:val="22"/>
        </w:rPr>
        <w:t>2013</w:t>
      </w:r>
      <w:r>
        <w:rPr>
          <w:rFonts w:hint="eastAsia"/>
          <w:snapToGrid w:val="0"/>
          <w:spacing w:val="4"/>
          <w:kern w:val="0"/>
          <w:sz w:val="24"/>
          <w:szCs w:val="22"/>
        </w:rPr>
        <w:t>〕</w:t>
      </w:r>
      <w:r>
        <w:rPr>
          <w:snapToGrid w:val="0"/>
          <w:spacing w:val="4"/>
          <w:kern w:val="0"/>
          <w:sz w:val="24"/>
          <w:szCs w:val="22"/>
        </w:rPr>
        <w:t>101号）；</w:t>
      </w:r>
    </w:p>
    <w:p>
      <w:pPr>
        <w:widowControl/>
        <w:spacing w:line="480" w:lineRule="exact"/>
        <w:ind w:firstLine="496" w:firstLineChars="200"/>
        <w:rPr>
          <w:snapToGrid w:val="0"/>
          <w:spacing w:val="4"/>
          <w:kern w:val="0"/>
          <w:sz w:val="24"/>
          <w:szCs w:val="22"/>
        </w:rPr>
      </w:pPr>
      <w:r>
        <w:rPr>
          <w:snapToGrid w:val="0"/>
          <w:spacing w:val="4"/>
          <w:kern w:val="0"/>
          <w:sz w:val="24"/>
          <w:szCs w:val="22"/>
        </w:rPr>
        <w:t>（13）《突发环境事件应急预案管理暂行办法》（环发</w:t>
      </w:r>
      <w:r>
        <w:rPr>
          <w:rFonts w:hint="eastAsia"/>
          <w:snapToGrid w:val="0"/>
          <w:spacing w:val="4"/>
          <w:kern w:val="0"/>
          <w:sz w:val="24"/>
          <w:szCs w:val="22"/>
        </w:rPr>
        <w:t>〔</w:t>
      </w:r>
      <w:r>
        <w:rPr>
          <w:snapToGrid w:val="0"/>
          <w:spacing w:val="4"/>
          <w:kern w:val="0"/>
          <w:sz w:val="24"/>
          <w:szCs w:val="22"/>
        </w:rPr>
        <w:t>2010</w:t>
      </w:r>
      <w:r>
        <w:rPr>
          <w:rFonts w:hint="eastAsia"/>
          <w:snapToGrid w:val="0"/>
          <w:spacing w:val="4"/>
          <w:kern w:val="0"/>
          <w:sz w:val="24"/>
          <w:szCs w:val="22"/>
        </w:rPr>
        <w:t>〕</w:t>
      </w:r>
      <w:r>
        <w:rPr>
          <w:snapToGrid w:val="0"/>
          <w:spacing w:val="4"/>
          <w:kern w:val="0"/>
          <w:sz w:val="24"/>
          <w:szCs w:val="22"/>
        </w:rPr>
        <w:t>113号）；</w:t>
      </w:r>
    </w:p>
    <w:p>
      <w:pPr>
        <w:widowControl/>
        <w:spacing w:line="480" w:lineRule="exact"/>
        <w:ind w:firstLine="496" w:firstLineChars="200"/>
        <w:rPr>
          <w:snapToGrid w:val="0"/>
          <w:spacing w:val="4"/>
          <w:kern w:val="0"/>
          <w:sz w:val="24"/>
          <w:szCs w:val="22"/>
        </w:rPr>
      </w:pPr>
      <w:r>
        <w:rPr>
          <w:snapToGrid w:val="0"/>
          <w:spacing w:val="4"/>
          <w:kern w:val="0"/>
          <w:sz w:val="24"/>
          <w:szCs w:val="22"/>
        </w:rPr>
        <w:t>（14）《企业事业单位突发环境事件应急预案备案管理办法（试行）》；</w:t>
      </w:r>
    </w:p>
    <w:p>
      <w:pPr>
        <w:widowControl/>
        <w:spacing w:line="480" w:lineRule="exact"/>
        <w:ind w:firstLine="496" w:firstLineChars="200"/>
        <w:rPr>
          <w:snapToGrid w:val="0"/>
          <w:color w:val="000000" w:themeColor="text1"/>
          <w:spacing w:val="4"/>
          <w:kern w:val="0"/>
          <w:sz w:val="24"/>
          <w:szCs w:val="22"/>
          <w14:textFill>
            <w14:solidFill>
              <w14:schemeClr w14:val="tx1"/>
            </w14:solidFill>
          </w14:textFill>
        </w:rPr>
      </w:pPr>
      <w:bookmarkStart w:id="21" w:name="_Toc318359664"/>
      <w:r>
        <w:rPr>
          <w:snapToGrid w:val="0"/>
          <w:color w:val="000000" w:themeColor="text1"/>
          <w:spacing w:val="4"/>
          <w:kern w:val="0"/>
          <w:sz w:val="24"/>
          <w:szCs w:val="22"/>
          <w14:textFill>
            <w14:solidFill>
              <w14:schemeClr w14:val="tx1"/>
            </w14:solidFill>
          </w14:textFill>
        </w:rPr>
        <w:t>（15）《化学品环境风险防控</w:t>
      </w:r>
      <w:r>
        <w:rPr>
          <w:rFonts w:hint="eastAsia"/>
          <w:snapToGrid w:val="0"/>
          <w:color w:val="000000" w:themeColor="text1"/>
          <w:spacing w:val="4"/>
          <w:kern w:val="0"/>
          <w:sz w:val="24"/>
          <w:szCs w:val="22"/>
          <w14:textFill>
            <w14:solidFill>
              <w14:schemeClr w14:val="tx1"/>
            </w14:solidFill>
          </w14:textFill>
        </w:rPr>
        <w:t>“</w:t>
      </w:r>
      <w:r>
        <w:rPr>
          <w:snapToGrid w:val="0"/>
          <w:color w:val="000000" w:themeColor="text1"/>
          <w:spacing w:val="4"/>
          <w:kern w:val="0"/>
          <w:sz w:val="24"/>
          <w:szCs w:val="22"/>
          <w14:textFill>
            <w14:solidFill>
              <w14:schemeClr w14:val="tx1"/>
            </w14:solidFill>
          </w14:textFill>
        </w:rPr>
        <w:t>十二五</w:t>
      </w:r>
      <w:r>
        <w:rPr>
          <w:rFonts w:hint="eastAsia"/>
          <w:snapToGrid w:val="0"/>
          <w:color w:val="000000" w:themeColor="text1"/>
          <w:spacing w:val="4"/>
          <w:kern w:val="0"/>
          <w:sz w:val="24"/>
          <w:szCs w:val="22"/>
          <w14:textFill>
            <w14:solidFill>
              <w14:schemeClr w14:val="tx1"/>
            </w14:solidFill>
          </w14:textFill>
        </w:rPr>
        <w:t>”</w:t>
      </w:r>
      <w:r>
        <w:rPr>
          <w:snapToGrid w:val="0"/>
          <w:color w:val="000000" w:themeColor="text1"/>
          <w:spacing w:val="4"/>
          <w:kern w:val="0"/>
          <w:sz w:val="24"/>
          <w:szCs w:val="22"/>
          <w14:textFill>
            <w14:solidFill>
              <w14:schemeClr w14:val="tx1"/>
            </w14:solidFill>
          </w14:textFill>
        </w:rPr>
        <w:t>规划》（环发</w:t>
      </w:r>
      <w:r>
        <w:rPr>
          <w:rFonts w:hint="eastAsia"/>
          <w:snapToGrid w:val="0"/>
          <w:color w:val="000000" w:themeColor="text1"/>
          <w:spacing w:val="4"/>
          <w:kern w:val="0"/>
          <w:sz w:val="24"/>
          <w:szCs w:val="22"/>
          <w14:textFill>
            <w14:solidFill>
              <w14:schemeClr w14:val="tx1"/>
            </w14:solidFill>
          </w14:textFill>
        </w:rPr>
        <w:t>〔</w:t>
      </w:r>
      <w:r>
        <w:rPr>
          <w:snapToGrid w:val="0"/>
          <w:color w:val="000000" w:themeColor="text1"/>
          <w:spacing w:val="4"/>
          <w:kern w:val="0"/>
          <w:sz w:val="24"/>
          <w:szCs w:val="22"/>
          <w14:textFill>
            <w14:solidFill>
              <w14:schemeClr w14:val="tx1"/>
            </w14:solidFill>
          </w14:textFill>
        </w:rPr>
        <w:t>2013</w:t>
      </w:r>
      <w:r>
        <w:rPr>
          <w:rFonts w:hint="eastAsia"/>
          <w:snapToGrid w:val="0"/>
          <w:color w:val="000000" w:themeColor="text1"/>
          <w:spacing w:val="4"/>
          <w:kern w:val="0"/>
          <w:sz w:val="24"/>
          <w:szCs w:val="22"/>
          <w14:textFill>
            <w14:solidFill>
              <w14:schemeClr w14:val="tx1"/>
            </w14:solidFill>
          </w14:textFill>
        </w:rPr>
        <w:t>〕</w:t>
      </w:r>
      <w:r>
        <w:rPr>
          <w:snapToGrid w:val="0"/>
          <w:color w:val="000000" w:themeColor="text1"/>
          <w:spacing w:val="4"/>
          <w:kern w:val="0"/>
          <w:sz w:val="24"/>
          <w:szCs w:val="22"/>
          <w14:textFill>
            <w14:solidFill>
              <w14:schemeClr w14:val="tx1"/>
            </w14:solidFill>
          </w14:textFill>
        </w:rPr>
        <w:t>20号）；</w:t>
      </w:r>
    </w:p>
    <w:p>
      <w:pPr>
        <w:widowControl/>
        <w:spacing w:line="480" w:lineRule="exact"/>
        <w:ind w:firstLine="496" w:firstLineChars="200"/>
        <w:rPr>
          <w:snapToGrid w:val="0"/>
          <w:spacing w:val="4"/>
          <w:kern w:val="0"/>
          <w:sz w:val="24"/>
          <w:szCs w:val="22"/>
        </w:rPr>
      </w:pPr>
      <w:r>
        <w:rPr>
          <w:snapToGrid w:val="0"/>
          <w:spacing w:val="4"/>
          <w:kern w:val="0"/>
          <w:sz w:val="24"/>
          <w:szCs w:val="22"/>
        </w:rPr>
        <w:t>（16）《国家安全监管总局关于废止和修改危险化学品等领域七部规章的决定》2015年7月1日施行；</w:t>
      </w:r>
    </w:p>
    <w:p>
      <w:pPr>
        <w:widowControl/>
        <w:spacing w:line="480" w:lineRule="exact"/>
        <w:ind w:firstLine="496" w:firstLineChars="200"/>
        <w:rPr>
          <w:snapToGrid w:val="0"/>
          <w:spacing w:val="4"/>
          <w:kern w:val="0"/>
          <w:sz w:val="24"/>
          <w:szCs w:val="22"/>
        </w:rPr>
      </w:pPr>
      <w:r>
        <w:rPr>
          <w:snapToGrid w:val="0"/>
          <w:spacing w:val="4"/>
          <w:kern w:val="0"/>
          <w:sz w:val="24"/>
          <w:szCs w:val="22"/>
        </w:rPr>
        <w:t>（17）《重点监管的危险化学品安全措施和应急处置原则》（安监总厅管三</w:t>
      </w:r>
      <w:r>
        <w:rPr>
          <w:rFonts w:hint="eastAsia"/>
          <w:snapToGrid w:val="0"/>
          <w:spacing w:val="4"/>
          <w:kern w:val="0"/>
          <w:sz w:val="24"/>
          <w:szCs w:val="22"/>
        </w:rPr>
        <w:t>〔</w:t>
      </w:r>
      <w:r>
        <w:rPr>
          <w:snapToGrid w:val="0"/>
          <w:spacing w:val="4"/>
          <w:kern w:val="0"/>
          <w:sz w:val="24"/>
          <w:szCs w:val="22"/>
        </w:rPr>
        <w:t>2011</w:t>
      </w:r>
      <w:r>
        <w:rPr>
          <w:rFonts w:hint="eastAsia"/>
          <w:snapToGrid w:val="0"/>
          <w:spacing w:val="4"/>
          <w:kern w:val="0"/>
          <w:sz w:val="24"/>
          <w:szCs w:val="22"/>
        </w:rPr>
        <w:t>〕</w:t>
      </w:r>
      <w:r>
        <w:rPr>
          <w:snapToGrid w:val="0"/>
          <w:spacing w:val="4"/>
          <w:kern w:val="0"/>
          <w:sz w:val="24"/>
          <w:szCs w:val="22"/>
        </w:rPr>
        <w:t>142号）；</w:t>
      </w:r>
    </w:p>
    <w:bookmarkEnd w:id="21"/>
    <w:p>
      <w:pPr>
        <w:widowControl/>
        <w:spacing w:line="480" w:lineRule="exact"/>
        <w:ind w:firstLine="496" w:firstLineChars="200"/>
        <w:rPr>
          <w:snapToGrid w:val="0"/>
          <w:spacing w:val="4"/>
          <w:kern w:val="0"/>
          <w:sz w:val="24"/>
          <w:szCs w:val="22"/>
        </w:rPr>
      </w:pPr>
      <w:r>
        <w:rPr>
          <w:snapToGrid w:val="0"/>
          <w:spacing w:val="4"/>
          <w:kern w:val="0"/>
          <w:sz w:val="24"/>
          <w:szCs w:val="22"/>
        </w:rPr>
        <w:t>（</w:t>
      </w:r>
      <w:r>
        <w:rPr>
          <w:rFonts w:hint="eastAsia"/>
          <w:snapToGrid w:val="0"/>
          <w:spacing w:val="4"/>
          <w:kern w:val="0"/>
          <w:sz w:val="24"/>
          <w:szCs w:val="22"/>
        </w:rPr>
        <w:t>18</w:t>
      </w:r>
      <w:r>
        <w:rPr>
          <w:snapToGrid w:val="0"/>
          <w:spacing w:val="4"/>
          <w:kern w:val="0"/>
          <w:sz w:val="24"/>
          <w:szCs w:val="22"/>
        </w:rPr>
        <w:t>）《危险化学品目录》（2015版）</w:t>
      </w:r>
      <w:r>
        <w:rPr>
          <w:rFonts w:hint="eastAsia"/>
          <w:snapToGrid w:val="0"/>
          <w:spacing w:val="4"/>
          <w:kern w:val="0"/>
          <w:sz w:val="24"/>
          <w:szCs w:val="22"/>
        </w:rPr>
        <w:t>及其分类信息表</w:t>
      </w:r>
      <w:r>
        <w:rPr>
          <w:snapToGrid w:val="0"/>
          <w:spacing w:val="4"/>
          <w:kern w:val="0"/>
          <w:sz w:val="24"/>
          <w:szCs w:val="22"/>
        </w:rPr>
        <w:t>；</w:t>
      </w:r>
    </w:p>
    <w:p>
      <w:pPr>
        <w:widowControl/>
        <w:spacing w:line="480" w:lineRule="exact"/>
        <w:ind w:firstLine="496" w:firstLineChars="200"/>
        <w:rPr>
          <w:snapToGrid w:val="0"/>
          <w:spacing w:val="4"/>
          <w:kern w:val="0"/>
          <w:sz w:val="24"/>
          <w:szCs w:val="22"/>
        </w:rPr>
      </w:pPr>
      <w:r>
        <w:rPr>
          <w:snapToGrid w:val="0"/>
          <w:spacing w:val="4"/>
          <w:kern w:val="0"/>
          <w:sz w:val="24"/>
          <w:szCs w:val="22"/>
        </w:rPr>
        <w:t>（</w:t>
      </w:r>
      <w:r>
        <w:rPr>
          <w:rFonts w:hint="eastAsia"/>
          <w:snapToGrid w:val="0"/>
          <w:spacing w:val="4"/>
          <w:kern w:val="0"/>
          <w:sz w:val="24"/>
          <w:szCs w:val="22"/>
        </w:rPr>
        <w:t>19</w:t>
      </w:r>
      <w:r>
        <w:rPr>
          <w:snapToGrid w:val="0"/>
          <w:spacing w:val="4"/>
          <w:kern w:val="0"/>
          <w:sz w:val="24"/>
          <w:szCs w:val="22"/>
        </w:rPr>
        <w:t>）《国家危险废物名录》（2016版）；</w:t>
      </w:r>
    </w:p>
    <w:p>
      <w:pPr>
        <w:widowControl/>
        <w:spacing w:line="480" w:lineRule="exact"/>
        <w:ind w:firstLine="496" w:firstLineChars="200"/>
        <w:rPr>
          <w:snapToGrid w:val="0"/>
          <w:spacing w:val="4"/>
          <w:kern w:val="0"/>
          <w:sz w:val="24"/>
          <w:szCs w:val="22"/>
        </w:rPr>
      </w:pPr>
      <w:r>
        <w:rPr>
          <w:snapToGrid w:val="0"/>
          <w:spacing w:val="4"/>
          <w:kern w:val="0"/>
          <w:sz w:val="24"/>
          <w:szCs w:val="22"/>
        </w:rPr>
        <w:t>（2</w:t>
      </w:r>
      <w:r>
        <w:rPr>
          <w:rFonts w:hint="eastAsia"/>
          <w:snapToGrid w:val="0"/>
          <w:spacing w:val="4"/>
          <w:kern w:val="0"/>
          <w:sz w:val="24"/>
          <w:szCs w:val="22"/>
        </w:rPr>
        <w:t>0</w:t>
      </w:r>
      <w:r>
        <w:rPr>
          <w:snapToGrid w:val="0"/>
          <w:spacing w:val="4"/>
          <w:kern w:val="0"/>
          <w:sz w:val="24"/>
          <w:szCs w:val="22"/>
        </w:rPr>
        <w:t>）《危险货物品名表》（GB12268-2012）；</w:t>
      </w:r>
    </w:p>
    <w:p>
      <w:pPr>
        <w:widowControl/>
        <w:spacing w:line="480" w:lineRule="exact"/>
        <w:ind w:firstLine="496" w:firstLineChars="200"/>
        <w:rPr>
          <w:snapToGrid w:val="0"/>
          <w:color w:val="FF0000"/>
          <w:spacing w:val="4"/>
          <w:kern w:val="0"/>
          <w:sz w:val="24"/>
          <w:szCs w:val="22"/>
        </w:rPr>
      </w:pPr>
      <w:r>
        <w:rPr>
          <w:snapToGrid w:val="0"/>
          <w:color w:val="FF0000"/>
          <w:spacing w:val="4"/>
          <w:kern w:val="0"/>
          <w:sz w:val="24"/>
          <w:szCs w:val="22"/>
        </w:rPr>
        <w:t>（21）《</w:t>
      </w:r>
      <w:r>
        <w:rPr>
          <w:rFonts w:hint="eastAsia"/>
          <w:snapToGrid w:val="0"/>
          <w:color w:val="FF0000"/>
          <w:spacing w:val="4"/>
          <w:kern w:val="0"/>
          <w:sz w:val="24"/>
          <w:szCs w:val="22"/>
        </w:rPr>
        <w:t>江西</w:t>
      </w:r>
      <w:r>
        <w:rPr>
          <w:snapToGrid w:val="0"/>
          <w:color w:val="FF0000"/>
          <w:spacing w:val="4"/>
          <w:kern w:val="0"/>
          <w:sz w:val="24"/>
          <w:szCs w:val="22"/>
        </w:rPr>
        <w:t>省突发环境事件应急预案》</w:t>
      </w:r>
      <w:r>
        <w:rPr>
          <w:rFonts w:hint="eastAsia"/>
          <w:snapToGrid w:val="0"/>
          <w:color w:val="FF0000"/>
          <w:spacing w:val="4"/>
          <w:kern w:val="0"/>
          <w:sz w:val="24"/>
          <w:szCs w:val="22"/>
        </w:rPr>
        <w:t>（2016年）</w:t>
      </w:r>
      <w:r>
        <w:rPr>
          <w:snapToGrid w:val="0"/>
          <w:color w:val="FF0000"/>
          <w:spacing w:val="4"/>
          <w:kern w:val="0"/>
          <w:sz w:val="24"/>
          <w:szCs w:val="22"/>
        </w:rPr>
        <w:t>；</w:t>
      </w:r>
    </w:p>
    <w:p>
      <w:pPr>
        <w:widowControl/>
        <w:spacing w:line="480" w:lineRule="exact"/>
        <w:ind w:firstLine="496" w:firstLineChars="200"/>
        <w:rPr>
          <w:snapToGrid w:val="0"/>
          <w:color w:val="000000" w:themeColor="text1"/>
          <w:spacing w:val="4"/>
          <w:kern w:val="0"/>
          <w:sz w:val="24"/>
          <w:szCs w:val="22"/>
          <w14:textFill>
            <w14:solidFill>
              <w14:schemeClr w14:val="tx1"/>
            </w14:solidFill>
          </w14:textFill>
        </w:rPr>
      </w:pPr>
      <w:r>
        <w:rPr>
          <w:snapToGrid w:val="0"/>
          <w:color w:val="FF0000"/>
          <w:spacing w:val="4"/>
          <w:kern w:val="0"/>
          <w:sz w:val="24"/>
          <w:szCs w:val="22"/>
        </w:rPr>
        <w:t>（22）《</w:t>
      </w:r>
      <w:r>
        <w:rPr>
          <w:rFonts w:hint="eastAsia"/>
          <w:snapToGrid w:val="0"/>
          <w:color w:val="FF0000"/>
          <w:spacing w:val="4"/>
          <w:kern w:val="0"/>
          <w:sz w:val="24"/>
          <w:szCs w:val="22"/>
        </w:rPr>
        <w:t>南昌市</w:t>
      </w:r>
      <w:r>
        <w:rPr>
          <w:snapToGrid w:val="0"/>
          <w:color w:val="FF0000"/>
          <w:spacing w:val="4"/>
          <w:kern w:val="0"/>
          <w:sz w:val="24"/>
          <w:szCs w:val="22"/>
        </w:rPr>
        <w:t>突发环境事件应急预案》</w:t>
      </w:r>
      <w:r>
        <w:rPr>
          <w:rFonts w:hint="eastAsia"/>
          <w:snapToGrid w:val="0"/>
          <w:color w:val="FF0000"/>
          <w:spacing w:val="4"/>
          <w:kern w:val="0"/>
          <w:sz w:val="24"/>
          <w:szCs w:val="22"/>
        </w:rPr>
        <w:t>（2016年）</w:t>
      </w:r>
      <w:r>
        <w:rPr>
          <w:snapToGrid w:val="0"/>
          <w:color w:val="000000" w:themeColor="text1"/>
          <w:spacing w:val="4"/>
          <w:kern w:val="0"/>
          <w:sz w:val="24"/>
          <w:szCs w:val="22"/>
          <w14:textFill>
            <w14:solidFill>
              <w14:schemeClr w14:val="tx1"/>
            </w14:solidFill>
          </w14:textFill>
        </w:rPr>
        <w:t>；</w:t>
      </w:r>
    </w:p>
    <w:p>
      <w:pPr>
        <w:widowControl/>
        <w:spacing w:line="480" w:lineRule="exact"/>
        <w:ind w:firstLine="496" w:firstLineChars="200"/>
        <w:rPr>
          <w:snapToGrid w:val="0"/>
          <w:color w:val="FF0000"/>
          <w:spacing w:val="4"/>
          <w:kern w:val="0"/>
          <w:sz w:val="24"/>
          <w:szCs w:val="22"/>
        </w:rPr>
      </w:pPr>
      <w:r>
        <w:rPr>
          <w:rFonts w:hint="eastAsia"/>
          <w:snapToGrid w:val="0"/>
          <w:color w:val="FF0000"/>
          <w:spacing w:val="4"/>
          <w:kern w:val="0"/>
          <w:sz w:val="24"/>
          <w:szCs w:val="22"/>
        </w:rPr>
        <w:t>（2</w:t>
      </w:r>
      <w:r>
        <w:rPr>
          <w:snapToGrid w:val="0"/>
          <w:color w:val="FF0000"/>
          <w:spacing w:val="4"/>
          <w:kern w:val="0"/>
          <w:sz w:val="24"/>
          <w:szCs w:val="22"/>
        </w:rPr>
        <w:t>3</w:t>
      </w:r>
      <w:r>
        <w:rPr>
          <w:rFonts w:hint="eastAsia"/>
          <w:snapToGrid w:val="0"/>
          <w:color w:val="FF0000"/>
          <w:spacing w:val="4"/>
          <w:kern w:val="0"/>
          <w:sz w:val="24"/>
          <w:szCs w:val="22"/>
        </w:rPr>
        <w:t>）《</w:t>
      </w:r>
      <w:r>
        <w:rPr>
          <w:rFonts w:hint="eastAsia" w:hAnsi="宋体"/>
          <w:color w:val="FF0000"/>
          <w:sz w:val="24"/>
          <w:lang w:eastAsia="zh-CN"/>
        </w:rPr>
        <w:t>中国石化销售股份有限公司江西南昌红谷滩石油分公司世纪星加油站</w:t>
      </w:r>
      <w:r>
        <w:rPr>
          <w:rFonts w:hint="eastAsia"/>
          <w:snapToGrid w:val="0"/>
          <w:color w:val="FF0000"/>
          <w:spacing w:val="4"/>
          <w:kern w:val="0"/>
          <w:sz w:val="24"/>
          <w:szCs w:val="22"/>
        </w:rPr>
        <w:t>环境应急资源调查报告》；</w:t>
      </w:r>
    </w:p>
    <w:p>
      <w:pPr>
        <w:widowControl/>
        <w:spacing w:line="480" w:lineRule="exact"/>
        <w:ind w:firstLine="496" w:firstLineChars="200"/>
        <w:rPr>
          <w:snapToGrid w:val="0"/>
          <w:color w:val="FF0000"/>
          <w:spacing w:val="4"/>
          <w:kern w:val="0"/>
          <w:sz w:val="24"/>
          <w:szCs w:val="22"/>
        </w:rPr>
      </w:pPr>
      <w:r>
        <w:rPr>
          <w:rFonts w:hint="eastAsia"/>
          <w:snapToGrid w:val="0"/>
          <w:color w:val="FF0000"/>
          <w:spacing w:val="4"/>
          <w:kern w:val="0"/>
          <w:sz w:val="24"/>
          <w:szCs w:val="22"/>
        </w:rPr>
        <w:t>（2</w:t>
      </w:r>
      <w:r>
        <w:rPr>
          <w:snapToGrid w:val="0"/>
          <w:color w:val="FF0000"/>
          <w:spacing w:val="4"/>
          <w:kern w:val="0"/>
          <w:sz w:val="24"/>
          <w:szCs w:val="22"/>
        </w:rPr>
        <w:t>4</w:t>
      </w:r>
      <w:r>
        <w:rPr>
          <w:rFonts w:hint="eastAsia"/>
          <w:snapToGrid w:val="0"/>
          <w:color w:val="FF0000"/>
          <w:spacing w:val="4"/>
          <w:kern w:val="0"/>
          <w:sz w:val="24"/>
          <w:szCs w:val="22"/>
        </w:rPr>
        <w:t>） 《</w:t>
      </w:r>
      <w:r>
        <w:rPr>
          <w:rFonts w:hint="eastAsia" w:hAnsi="宋体"/>
          <w:color w:val="FF0000"/>
          <w:sz w:val="24"/>
          <w:lang w:eastAsia="zh-CN"/>
        </w:rPr>
        <w:t>中国石化销售股份有限公司江西南昌红谷滩石油分公司世纪星加油站</w:t>
      </w:r>
      <w:r>
        <w:rPr>
          <w:rFonts w:hint="eastAsia"/>
          <w:snapToGrid w:val="0"/>
          <w:color w:val="FF0000"/>
          <w:spacing w:val="4"/>
          <w:kern w:val="0"/>
          <w:sz w:val="24"/>
          <w:szCs w:val="22"/>
        </w:rPr>
        <w:t>突发环境事件风险评估报告》；</w:t>
      </w:r>
    </w:p>
    <w:p>
      <w:pPr>
        <w:widowControl/>
        <w:spacing w:line="480" w:lineRule="exact"/>
        <w:ind w:firstLine="496" w:firstLineChars="200"/>
        <w:rPr>
          <w:snapToGrid w:val="0"/>
          <w:color w:val="000000" w:themeColor="text1"/>
          <w:spacing w:val="4"/>
          <w:kern w:val="0"/>
          <w:sz w:val="24"/>
          <w:szCs w:val="22"/>
          <w14:textFill>
            <w14:solidFill>
              <w14:schemeClr w14:val="tx1"/>
            </w14:solidFill>
          </w14:textFill>
        </w:rPr>
      </w:pPr>
      <w:r>
        <w:rPr>
          <w:rFonts w:hint="eastAsia"/>
          <w:snapToGrid w:val="0"/>
          <w:color w:val="000000" w:themeColor="text1"/>
          <w:spacing w:val="4"/>
          <w:kern w:val="0"/>
          <w:sz w:val="24"/>
          <w:szCs w:val="22"/>
          <w14:textFill>
            <w14:solidFill>
              <w14:schemeClr w14:val="tx1"/>
            </w14:solidFill>
          </w14:textFill>
        </w:rPr>
        <w:t>（2</w:t>
      </w:r>
      <w:r>
        <w:rPr>
          <w:snapToGrid w:val="0"/>
          <w:color w:val="000000" w:themeColor="text1"/>
          <w:spacing w:val="4"/>
          <w:kern w:val="0"/>
          <w:sz w:val="24"/>
          <w:szCs w:val="22"/>
          <w14:textFill>
            <w14:solidFill>
              <w14:schemeClr w14:val="tx1"/>
            </w14:solidFill>
          </w14:textFill>
        </w:rPr>
        <w:t>5</w:t>
      </w:r>
      <w:r>
        <w:rPr>
          <w:rFonts w:hint="eastAsia"/>
          <w:snapToGrid w:val="0"/>
          <w:color w:val="000000" w:themeColor="text1"/>
          <w:spacing w:val="4"/>
          <w:kern w:val="0"/>
          <w:sz w:val="24"/>
          <w:szCs w:val="22"/>
          <w14:textFill>
            <w14:solidFill>
              <w14:schemeClr w14:val="tx1"/>
            </w14:solidFill>
          </w14:textFill>
        </w:rPr>
        <w:t>）《企业事业单位突发环境事件应急预案评审工作指南（试行）》。</w:t>
      </w:r>
    </w:p>
    <w:p>
      <w:pPr>
        <w:spacing w:before="60" w:after="60" w:line="480" w:lineRule="exact"/>
        <w:outlineLvl w:val="1"/>
        <w:rPr>
          <w:rFonts w:eastAsia="黑体"/>
          <w:b/>
          <w:snapToGrid w:val="0"/>
          <w:color w:val="000000" w:themeColor="text1"/>
          <w:spacing w:val="4"/>
          <w:kern w:val="0"/>
          <w:sz w:val="28"/>
          <w:szCs w:val="30"/>
          <w14:textFill>
            <w14:solidFill>
              <w14:schemeClr w14:val="tx1"/>
            </w14:solidFill>
          </w14:textFill>
        </w:rPr>
      </w:pPr>
      <w:bookmarkStart w:id="22" w:name="_Toc10105637"/>
      <w:r>
        <w:rPr>
          <w:rFonts w:eastAsia="黑体"/>
          <w:b/>
          <w:snapToGrid w:val="0"/>
          <w:color w:val="000000" w:themeColor="text1"/>
          <w:spacing w:val="4"/>
          <w:kern w:val="0"/>
          <w:sz w:val="28"/>
          <w:szCs w:val="30"/>
          <w14:textFill>
            <w14:solidFill>
              <w14:schemeClr w14:val="tx1"/>
            </w14:solidFill>
          </w14:textFill>
        </w:rPr>
        <w:t>1.3适用范围</w:t>
      </w:r>
      <w:bookmarkEnd w:id="16"/>
      <w:bookmarkEnd w:id="17"/>
      <w:bookmarkEnd w:id="18"/>
      <w:bookmarkEnd w:id="19"/>
      <w:bookmarkEnd w:id="20"/>
      <w:bookmarkEnd w:id="22"/>
      <w:r>
        <w:rPr>
          <w:rFonts w:hint="eastAsia" w:eastAsia="黑体"/>
          <w:b/>
          <w:snapToGrid w:val="0"/>
          <w:color w:val="000000" w:themeColor="text1"/>
          <w:spacing w:val="4"/>
          <w:kern w:val="0"/>
          <w:sz w:val="28"/>
          <w:szCs w:val="30"/>
          <w14:textFill>
            <w14:solidFill>
              <w14:schemeClr w14:val="tx1"/>
            </w14:solidFill>
          </w14:textFill>
        </w:rPr>
        <w:t xml:space="preserve"> </w:t>
      </w:r>
    </w:p>
    <w:p>
      <w:pPr>
        <w:spacing w:line="480" w:lineRule="exact"/>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本应急预案适用于</w:t>
      </w:r>
      <w:r>
        <w:rPr>
          <w:rFonts w:hint="eastAsia" w:hAnsi="宋体"/>
          <w:color w:val="FF0000"/>
          <w:sz w:val="24"/>
          <w:lang w:eastAsia="zh-CN"/>
        </w:rPr>
        <w:t>中国石化销售股份有限公司江西南昌红谷滩石油分公司世纪星加油站</w:t>
      </w:r>
      <w:r>
        <w:rPr>
          <w:rFonts w:hint="eastAsia"/>
          <w:color w:val="000000" w:themeColor="text1"/>
          <w:sz w:val="24"/>
          <w14:textFill>
            <w14:solidFill>
              <w14:schemeClr w14:val="tx1"/>
            </w14:solidFill>
          </w14:textFill>
        </w:rPr>
        <w:t>运行过程中发生或可能发生的突发环境事件的预警、报告、处置、应急监测和应急终止等工作。企业可能发生的突发环境事件主要包括</w:t>
      </w:r>
    </w:p>
    <w:p>
      <w:pPr>
        <w:spacing w:line="480" w:lineRule="exact"/>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（1）安全事故导致的突发环境事件，主要为</w:t>
      </w:r>
      <w:r>
        <w:rPr>
          <w:rFonts w:hint="eastAsia"/>
          <w:color w:val="000000" w:themeColor="text1"/>
          <w:sz w:val="24"/>
          <w:lang w:eastAsia="zh-CN"/>
          <w14:textFill>
            <w14:solidFill>
              <w14:schemeClr w14:val="tx1"/>
            </w14:solidFill>
          </w14:textFill>
        </w:rPr>
        <w:t>汽油</w:t>
      </w:r>
      <w:r>
        <w:rPr>
          <w:color w:val="000000" w:themeColor="text1"/>
          <w:sz w:val="24"/>
          <w14:textFill>
            <w14:solidFill>
              <w14:schemeClr w14:val="tx1"/>
            </w14:solidFill>
          </w14:textFill>
        </w:rPr>
        <w:t>泄漏、火灾</w:t>
      </w:r>
      <w:r>
        <w:rPr>
          <w:rFonts w:hint="eastAsia"/>
          <w:color w:val="000000" w:themeColor="text1"/>
          <w:sz w:val="24"/>
          <w14:textFill>
            <w14:solidFill>
              <w14:schemeClr w14:val="tx1"/>
            </w14:solidFill>
          </w14:textFill>
        </w:rPr>
        <w:t>爆炸事故等；</w:t>
      </w:r>
    </w:p>
    <w:p>
      <w:pPr>
        <w:spacing w:line="480" w:lineRule="exact"/>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（2）其他突发环境事件。</w:t>
      </w:r>
    </w:p>
    <w:p>
      <w:pPr>
        <w:spacing w:before="60" w:after="60" w:line="480" w:lineRule="exact"/>
        <w:outlineLvl w:val="1"/>
        <w:rPr>
          <w:rFonts w:eastAsia="黑体"/>
          <w:b/>
          <w:snapToGrid w:val="0"/>
          <w:color w:val="000000" w:themeColor="text1"/>
          <w:spacing w:val="4"/>
          <w:kern w:val="0"/>
          <w:sz w:val="28"/>
          <w:szCs w:val="30"/>
          <w14:textFill>
            <w14:solidFill>
              <w14:schemeClr w14:val="tx1"/>
            </w14:solidFill>
          </w14:textFill>
        </w:rPr>
      </w:pPr>
      <w:bookmarkStart w:id="23" w:name="_Toc336595749"/>
      <w:bookmarkStart w:id="24" w:name="_Toc336596907"/>
      <w:bookmarkStart w:id="25" w:name="_Toc336595864"/>
      <w:bookmarkStart w:id="26" w:name="_Toc336595385"/>
      <w:bookmarkStart w:id="27" w:name="_Toc484163902"/>
      <w:bookmarkStart w:id="28" w:name="_Toc10105638"/>
      <w:r>
        <w:rPr>
          <w:rFonts w:eastAsia="黑体"/>
          <w:b/>
          <w:snapToGrid w:val="0"/>
          <w:color w:val="000000" w:themeColor="text1"/>
          <w:spacing w:val="4"/>
          <w:kern w:val="0"/>
          <w:sz w:val="28"/>
          <w:szCs w:val="30"/>
          <w14:textFill>
            <w14:solidFill>
              <w14:schemeClr w14:val="tx1"/>
            </w14:solidFill>
          </w14:textFill>
        </w:rPr>
        <w:t>1.4预案体系</w:t>
      </w:r>
      <w:bookmarkEnd w:id="23"/>
      <w:bookmarkEnd w:id="24"/>
      <w:bookmarkEnd w:id="25"/>
      <w:bookmarkEnd w:id="26"/>
      <w:bookmarkEnd w:id="27"/>
      <w:bookmarkEnd w:id="28"/>
      <w:r>
        <w:rPr>
          <w:rFonts w:eastAsia="黑体"/>
          <w:b/>
          <w:snapToGrid w:val="0"/>
          <w:color w:val="000000" w:themeColor="text1"/>
          <w:spacing w:val="4"/>
          <w:kern w:val="0"/>
          <w:sz w:val="28"/>
          <w:szCs w:val="30"/>
          <w14:textFill>
            <w14:solidFill>
              <w14:schemeClr w14:val="tx1"/>
            </w14:solidFill>
          </w14:textFill>
        </w:rPr>
        <w:tab/>
      </w:r>
    </w:p>
    <w:p>
      <w:pPr>
        <w:adjustRightInd w:val="0"/>
        <w:snapToGrid w:val="0"/>
        <w:spacing w:line="480" w:lineRule="exact"/>
        <w:ind w:firstLine="480" w:firstLineChars="200"/>
        <w:rPr>
          <w:color w:val="000000" w:themeColor="text1"/>
          <w:sz w:val="24"/>
          <w14:textFill>
            <w14:solidFill>
              <w14:schemeClr w14:val="tx1"/>
            </w14:solidFill>
          </w14:textFill>
        </w:rPr>
      </w:pPr>
      <w:r>
        <w:rPr>
          <w:rFonts w:hint="eastAsia" w:hAnsi="宋体"/>
          <w:color w:val="FF0000"/>
          <w:sz w:val="24"/>
          <w:lang w:eastAsia="zh-CN"/>
        </w:rPr>
        <w:t>中国石化销售股份有限公司江西南昌红谷滩石油分公司世纪星加油站</w:t>
      </w:r>
      <w:r>
        <w:rPr>
          <w:rFonts w:hint="eastAsia"/>
          <w:color w:val="000000" w:themeColor="text1"/>
          <w:sz w:val="24"/>
          <w14:textFill>
            <w14:solidFill>
              <w14:schemeClr w14:val="tx1"/>
            </w14:solidFill>
          </w14:textFill>
        </w:rPr>
        <w:t>应急预案体系主要包括火灾事故应急预案、突发环境事件应急预案。其中突发环境事件应急预案</w:t>
      </w:r>
      <w:r>
        <w:rPr>
          <w:color w:val="000000" w:themeColor="text1"/>
          <w:sz w:val="24"/>
          <w14:textFill>
            <w14:solidFill>
              <w14:schemeClr w14:val="tx1"/>
            </w14:solidFill>
          </w14:textFill>
        </w:rPr>
        <w:t>在</w:t>
      </w:r>
      <w:r>
        <w:rPr>
          <w:color w:val="FF0000"/>
          <w:sz w:val="24"/>
        </w:rPr>
        <w:t>《</w:t>
      </w:r>
      <w:r>
        <w:rPr>
          <w:rFonts w:hint="eastAsia"/>
          <w:color w:val="FF0000"/>
          <w:sz w:val="24"/>
        </w:rPr>
        <w:t>江西</w:t>
      </w:r>
      <w:r>
        <w:rPr>
          <w:color w:val="FF0000"/>
          <w:sz w:val="24"/>
        </w:rPr>
        <w:t>省突发环境事件应急预案》、《</w:t>
      </w:r>
      <w:r>
        <w:rPr>
          <w:rFonts w:hint="eastAsia"/>
          <w:color w:val="FF0000"/>
          <w:sz w:val="24"/>
        </w:rPr>
        <w:t>南昌</w:t>
      </w:r>
      <w:r>
        <w:rPr>
          <w:color w:val="FF0000"/>
          <w:sz w:val="24"/>
        </w:rPr>
        <w:t>市突发环境事件应急预案》和《</w:t>
      </w:r>
      <w:r>
        <w:rPr>
          <w:rFonts w:hint="eastAsia"/>
          <w:color w:val="FF0000"/>
          <w:sz w:val="24"/>
        </w:rPr>
        <w:t>高新区</w:t>
      </w:r>
      <w:r>
        <w:rPr>
          <w:color w:val="FF0000"/>
          <w:sz w:val="24"/>
        </w:rPr>
        <w:t>突发环境事件应急预案》</w:t>
      </w:r>
      <w:r>
        <w:rPr>
          <w:color w:val="000000" w:themeColor="text1"/>
          <w:sz w:val="24"/>
          <w14:textFill>
            <w14:solidFill>
              <w14:schemeClr w14:val="tx1"/>
            </w14:solidFill>
          </w14:textFill>
        </w:rPr>
        <w:t>的框架范围内制定，与</w:t>
      </w:r>
      <w:r>
        <w:rPr>
          <w:rFonts w:hint="eastAsia"/>
          <w:color w:val="000000" w:themeColor="text1"/>
          <w:sz w:val="24"/>
          <w14:textFill>
            <w14:solidFill>
              <w14:schemeClr w14:val="tx1"/>
            </w14:solidFill>
          </w14:textFill>
        </w:rPr>
        <w:t>企业火灾事故应急预案相互</w:t>
      </w:r>
      <w:r>
        <w:rPr>
          <w:color w:val="000000" w:themeColor="text1"/>
          <w:sz w:val="24"/>
          <w14:textFill>
            <w14:solidFill>
              <w14:schemeClr w14:val="tx1"/>
            </w14:solidFill>
          </w14:textFill>
        </w:rPr>
        <w:t>协调、相互衔接。</w:t>
      </w:r>
      <w:r>
        <w:rPr>
          <w:rFonts w:hint="eastAsia"/>
          <w:color w:val="000000" w:themeColor="text1"/>
          <w:sz w:val="24"/>
          <w14:textFill>
            <w14:solidFill>
              <w14:schemeClr w14:val="tx1"/>
            </w14:solidFill>
          </w14:textFill>
        </w:rPr>
        <w:t>火灾事故应急预案中主要侧重火灾的消防处置工作。突发环境事件应急预案主要侧重消防工作后期事故水的处置工作。</w:t>
      </w:r>
    </w:p>
    <w:p>
      <w:pPr>
        <w:spacing w:line="480" w:lineRule="exact"/>
        <w:ind w:firstLine="480" w:firstLineChars="200"/>
        <w:contextualSpacing/>
        <w:jc w:val="left"/>
        <w:rPr>
          <w:b/>
          <w:color w:val="000000" w:themeColor="text1"/>
          <w14:textFill>
            <w14:solidFill>
              <w14:schemeClr w14:val="tx1"/>
            </w14:solidFill>
          </w14:textFill>
        </w:rPr>
      </w:pPr>
      <w:r>
        <w:rPr>
          <w:color w:val="000000" w:themeColor="text1"/>
          <w:sz w:val="24"/>
          <w14:textFill>
            <w14:solidFill>
              <w14:schemeClr w14:val="tx1"/>
            </w14:solidFill>
          </w14:textFill>
        </w:rPr>
        <w:t>在发生突发环境事件时，由</w:t>
      </w:r>
      <w:r>
        <w:rPr>
          <w:rFonts w:hint="eastAsia" w:hAnsi="宋体"/>
          <w:color w:val="FF0000"/>
          <w:sz w:val="24"/>
          <w:lang w:eastAsia="zh-CN"/>
        </w:rPr>
        <w:t>中国石化销售股份有限公司江西南昌红谷滩石油分公司世纪星加油站</w:t>
      </w:r>
      <w:r>
        <w:rPr>
          <w:color w:val="000000" w:themeColor="text1"/>
          <w:sz w:val="24"/>
          <w14:textFill>
            <w14:solidFill>
              <w14:schemeClr w14:val="tx1"/>
            </w14:solidFill>
          </w14:textFill>
        </w:rPr>
        <w:t>应急指挥部启动《</w:t>
      </w:r>
      <w:r>
        <w:rPr>
          <w:rFonts w:hint="eastAsia" w:hAnsi="宋体"/>
          <w:color w:val="FF0000"/>
          <w:sz w:val="24"/>
          <w:lang w:eastAsia="zh-CN"/>
        </w:rPr>
        <w:t>中国石化销售股份有限公司江西南昌红谷滩石油分公司世纪星加油站</w:t>
      </w:r>
      <w:r>
        <w:rPr>
          <w:color w:val="000000" w:themeColor="text1"/>
          <w:sz w:val="24"/>
          <w14:textFill>
            <w14:solidFill>
              <w14:schemeClr w14:val="tx1"/>
            </w14:solidFill>
          </w14:textFill>
        </w:rPr>
        <w:t>突发环境事件应急预案》</w:t>
      </w:r>
      <w:r>
        <w:rPr>
          <w:rFonts w:hint="eastAsia"/>
          <w:color w:val="000000" w:themeColor="text1"/>
          <w:sz w:val="24"/>
          <w14:textFill>
            <w14:solidFill>
              <w14:schemeClr w14:val="tx1"/>
            </w14:solidFill>
          </w14:textFill>
        </w:rPr>
        <w:t>，进行突发环境事件的应急处置工作</w:t>
      </w:r>
      <w:r>
        <w:rPr>
          <w:color w:val="000000" w:themeColor="text1"/>
          <w:sz w:val="24"/>
          <w14:textFill>
            <w14:solidFill>
              <w14:schemeClr w14:val="tx1"/>
            </w14:solidFill>
          </w14:textFill>
        </w:rPr>
        <w:t>。</w:t>
      </w:r>
      <w:r>
        <w:rPr>
          <w:rFonts w:hint="eastAsia"/>
          <w:color w:val="000000" w:themeColor="text1"/>
          <w:sz w:val="24"/>
          <w14:textFill>
            <w14:solidFill>
              <w14:schemeClr w14:val="tx1"/>
            </w14:solidFill>
          </w14:textFill>
        </w:rPr>
        <w:t>当企业突发环境事件可能影响到外部时，应急指挥部总指挥或副总指挥在半小时内通知区生态环境主管部门和县政府。当启动区突发环境事件应急预案或更高级别预案时，企业应急组织服从上级突发环境事件应急指挥部安排，根据上级指令参与突发环境事件应急处置工作。</w:t>
      </w:r>
    </w:p>
    <w:p>
      <w:pPr>
        <w:adjustRightInd w:val="0"/>
        <w:snapToGrid w:val="0"/>
        <w:spacing w:line="500" w:lineRule="exact"/>
        <w:ind w:firstLine="420" w:firstLineChars="200"/>
        <w:rPr>
          <w:color w:val="000000" w:themeColor="text1"/>
          <w:sz w:val="24"/>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637760" behindDoc="0" locked="0" layoutInCell="1" allowOverlap="1">
                <wp:simplePos x="0" y="0"/>
                <wp:positionH relativeFrom="column">
                  <wp:posOffset>-114300</wp:posOffset>
                </wp:positionH>
                <wp:positionV relativeFrom="paragraph">
                  <wp:posOffset>266700</wp:posOffset>
                </wp:positionV>
                <wp:extent cx="1371600" cy="755650"/>
                <wp:effectExtent l="9525" t="9525" r="9525" b="6350"/>
                <wp:wrapNone/>
                <wp:docPr id="112" name="矩形 3"/>
                <wp:cNvGraphicFramePr/>
                <a:graphic xmlns:a="http://schemas.openxmlformats.org/drawingml/2006/main">
                  <a:graphicData uri="http://schemas.microsoft.com/office/word/2010/wordprocessingShape">
                    <wps:wsp>
                      <wps:cNvSpPr>
                        <a:spLocks noChangeArrowheads="1"/>
                      </wps:cNvSpPr>
                      <wps:spPr bwMode="auto">
                        <a:xfrm>
                          <a:off x="0" y="0"/>
                          <a:ext cx="1371600" cy="755650"/>
                        </a:xfrm>
                        <a:prstGeom prst="rect">
                          <a:avLst/>
                        </a:prstGeom>
                        <a:solidFill>
                          <a:srgbClr val="FFFFFF"/>
                        </a:solidFill>
                        <a:ln w="9525">
                          <a:solidFill>
                            <a:srgbClr val="000000"/>
                          </a:solidFill>
                          <a:miter lim="800000"/>
                        </a:ln>
                      </wps:spPr>
                      <wps:txbx>
                        <w:txbxContent>
                          <w:p>
                            <w:pPr>
                              <w:rPr>
                                <w:color w:val="FF0000"/>
                              </w:rPr>
                            </w:pPr>
                            <w:r>
                              <w:rPr>
                                <w:rFonts w:hint="eastAsia"/>
                                <w:color w:val="FF0000"/>
                              </w:rPr>
                              <w:t>《高新区突发环境事件应急预案》</w:t>
                            </w:r>
                          </w:p>
                        </w:txbxContent>
                      </wps:txbx>
                      <wps:bodyPr rot="0" vert="horz" wrap="square" lIns="91440" tIns="45720" rIns="91440" bIns="45720" anchor="t" anchorCtr="0" upright="1">
                        <a:noAutofit/>
                      </wps:bodyPr>
                    </wps:wsp>
                  </a:graphicData>
                </a:graphic>
              </wp:anchor>
            </w:drawing>
          </mc:Choice>
          <mc:Fallback>
            <w:pict>
              <v:rect id="矩形 3" o:spid="_x0000_s1026" o:spt="1" style="position:absolute;left:0pt;margin-left:-9pt;margin-top:21pt;height:59.5pt;width:108pt;z-index:251637760;mso-width-relative:page;mso-height-relative:page;" fillcolor="#FFFFFF" filled="t" stroked="t" coordsize="21600,21600" o:gfxdata="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C2MOjDWAAAA&#10;CgEAAA8AAAAAAAAAAQAgAAAAIgAAAGRycy9kb3ducmV2LnhtbFBLAQIUABQAAAAIAIdO4kCm1CTp&#10;HwIAAC4EAAAOAAAAAAAAAAEAIAAAACUBAABkcnMvZTJvRG9jLnhtbFBLBQYAAAAABgAGAFkBAAC2&#10;BQAAAAA=&#10;">
                <v:fill on="t" focussize="0,0"/>
                <v:stroke color="#000000" miterlimit="8" joinstyle="miter"/>
                <v:imagedata o:title=""/>
                <o:lock v:ext="edit" aspectratio="f"/>
                <v:textbox>
                  <w:txbxContent>
                    <w:p>
                      <w:pPr>
                        <w:rPr>
                          <w:color w:val="FF0000"/>
                        </w:rPr>
                      </w:pPr>
                      <w:r>
                        <w:rPr>
                          <w:rFonts w:hint="eastAsia"/>
                          <w:color w:val="FF0000"/>
                        </w:rPr>
                        <w:t>《高新区突发环境事件应急预案》</w:t>
                      </w:r>
                    </w:p>
                  </w:txbxContent>
                </v:textbox>
              </v:rect>
            </w:pict>
          </mc:Fallback>
        </mc:AlternateContent>
      </w:r>
    </w:p>
    <w:p>
      <w:pPr>
        <w:spacing w:line="360" w:lineRule="auto"/>
        <w:ind w:firstLine="480"/>
        <w:contextualSpacing/>
        <w:rPr>
          <w:color w:val="000000" w:themeColor="text1"/>
          <w:sz w:val="28"/>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641856" behindDoc="0" locked="0" layoutInCell="1" allowOverlap="1">
                <wp:simplePos x="0" y="0"/>
                <wp:positionH relativeFrom="column">
                  <wp:posOffset>1546225</wp:posOffset>
                </wp:positionH>
                <wp:positionV relativeFrom="paragraph">
                  <wp:posOffset>299720</wp:posOffset>
                </wp:positionV>
                <wp:extent cx="3076575" cy="445135"/>
                <wp:effectExtent l="12700" t="7620" r="6350" b="13970"/>
                <wp:wrapNone/>
                <wp:docPr id="111" name="矩形 4"/>
                <wp:cNvGraphicFramePr/>
                <a:graphic xmlns:a="http://schemas.openxmlformats.org/drawingml/2006/main">
                  <a:graphicData uri="http://schemas.microsoft.com/office/word/2010/wordprocessingShape">
                    <wps:wsp>
                      <wps:cNvSpPr>
                        <a:spLocks noChangeArrowheads="1"/>
                      </wps:cNvSpPr>
                      <wps:spPr bwMode="auto">
                        <a:xfrm>
                          <a:off x="0" y="0"/>
                          <a:ext cx="3076575" cy="445135"/>
                        </a:xfrm>
                        <a:prstGeom prst="rect">
                          <a:avLst/>
                        </a:prstGeom>
                        <a:solidFill>
                          <a:srgbClr val="FFFFFF"/>
                        </a:solidFill>
                        <a:ln w="9525">
                          <a:solidFill>
                            <a:srgbClr val="000000"/>
                          </a:solidFill>
                          <a:miter lim="800000"/>
                        </a:ln>
                      </wps:spPr>
                      <wps:txbx>
                        <w:txbxContent>
                          <w:p>
                            <w:pPr>
                              <w:jc w:val="center"/>
                            </w:pPr>
                            <w:r>
                              <w:rPr>
                                <w:rFonts w:hint="eastAsia"/>
                              </w:rPr>
                              <w:t>《</w:t>
                            </w:r>
                            <w:r>
                              <w:rPr>
                                <w:rFonts w:hint="eastAsia"/>
                                <w:color w:val="FF0000"/>
                                <w:lang w:eastAsia="zh-CN"/>
                              </w:rPr>
                              <w:t>中国石化销售股份有限公司江西南昌红谷滩石油分公司世纪星加油站</w:t>
                            </w:r>
                            <w:r>
                              <w:rPr>
                                <w:rFonts w:hint="eastAsia"/>
                                <w:color w:val="000000" w:themeColor="text1"/>
                                <w14:textFill>
                                  <w14:solidFill>
                                    <w14:schemeClr w14:val="tx1"/>
                                  </w14:solidFill>
                                </w14:textFill>
                              </w:rPr>
                              <w:t>火</w:t>
                            </w:r>
                            <w:r>
                              <w:rPr>
                                <w:rFonts w:hint="eastAsia"/>
                              </w:rPr>
                              <w:t>灾事故综合应急预案》</w:t>
                            </w:r>
                          </w:p>
                        </w:txbxContent>
                      </wps:txbx>
                      <wps:bodyPr rot="0" vert="horz" wrap="square" lIns="0" tIns="0" rIns="0" bIns="0" anchor="ctr" anchorCtr="0" upright="1">
                        <a:noAutofit/>
                      </wps:bodyPr>
                    </wps:wsp>
                  </a:graphicData>
                </a:graphic>
              </wp:anchor>
            </w:drawing>
          </mc:Choice>
          <mc:Fallback>
            <w:pict>
              <v:rect id="矩形 4" o:spid="_x0000_s1026" o:spt="1" style="position:absolute;left:0pt;margin-left:121.75pt;margin-top:23.6pt;height:35.05pt;width:242.25pt;z-index:251641856;v-text-anchor:middle;mso-width-relative:page;mso-height-relative:page;" fillcolor="#FFFFFF" filled="t" stroked="t" coordsize="21600,21600" o:gfxdata="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JqfpOvYAAAACgEAAA8A&#10;AAAAAAAAAQAgAAAAIgAAAGRycy9kb3ducmV2LnhtbFBLAQIUABQAAAAIAIdO4kBR2Gm4FwIAACAE&#10;AAAOAAAAAAAAAAEAIAAAACcBAABkcnMvZTJvRG9jLnhtbFBLBQYAAAAABgAGAFkBAACwBQAAAAA=&#10;">
                <v:fill on="t" focussize="0,0"/>
                <v:stroke color="#000000" miterlimit="8" joinstyle="miter"/>
                <v:imagedata o:title=""/>
                <o:lock v:ext="edit" aspectratio="f"/>
                <v:textbox inset="0mm,0mm,0mm,0mm">
                  <w:txbxContent>
                    <w:p>
                      <w:pPr>
                        <w:jc w:val="center"/>
                      </w:pPr>
                      <w:r>
                        <w:rPr>
                          <w:rFonts w:hint="eastAsia"/>
                        </w:rPr>
                        <w:t>《</w:t>
                      </w:r>
                      <w:r>
                        <w:rPr>
                          <w:rFonts w:hint="eastAsia"/>
                          <w:color w:val="FF0000"/>
                          <w:lang w:eastAsia="zh-CN"/>
                        </w:rPr>
                        <w:t>中国石化销售股份有限公司江西南昌红谷滩石油分公司世纪星加油站</w:t>
                      </w:r>
                      <w:r>
                        <w:rPr>
                          <w:rFonts w:hint="eastAsia"/>
                          <w:color w:val="000000" w:themeColor="text1"/>
                          <w14:textFill>
                            <w14:solidFill>
                              <w14:schemeClr w14:val="tx1"/>
                            </w14:solidFill>
                          </w14:textFill>
                        </w:rPr>
                        <w:t>火</w:t>
                      </w:r>
                      <w:r>
                        <w:rPr>
                          <w:rFonts w:hint="eastAsia"/>
                        </w:rPr>
                        <w:t>灾事故综合应急预案》</w:t>
                      </w:r>
                    </w:p>
                  </w:txbxContent>
                </v:textbox>
              </v:rect>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643904" behindDoc="1" locked="0" layoutInCell="1" allowOverlap="1">
                <wp:simplePos x="0" y="0"/>
                <wp:positionH relativeFrom="column">
                  <wp:posOffset>1494790</wp:posOffset>
                </wp:positionH>
                <wp:positionV relativeFrom="paragraph">
                  <wp:posOffset>131445</wp:posOffset>
                </wp:positionV>
                <wp:extent cx="3296285" cy="1828800"/>
                <wp:effectExtent l="37465" t="29845" r="28575" b="36830"/>
                <wp:wrapNone/>
                <wp:docPr id="110" name="矩形 2"/>
                <wp:cNvGraphicFramePr/>
                <a:graphic xmlns:a="http://schemas.openxmlformats.org/drawingml/2006/main">
                  <a:graphicData uri="http://schemas.microsoft.com/office/word/2010/wordprocessingShape">
                    <wps:wsp>
                      <wps:cNvSpPr>
                        <a:spLocks noChangeArrowheads="1"/>
                      </wps:cNvSpPr>
                      <wps:spPr bwMode="auto">
                        <a:xfrm>
                          <a:off x="0" y="0"/>
                          <a:ext cx="3296285" cy="1828800"/>
                        </a:xfrm>
                        <a:prstGeom prst="rect">
                          <a:avLst/>
                        </a:prstGeom>
                        <a:solidFill>
                          <a:srgbClr val="FFFFFF"/>
                        </a:solidFill>
                        <a:ln w="57150" cmpd="thickThin">
                          <a:solidFill>
                            <a:srgbClr val="000000"/>
                          </a:solidFill>
                          <a:miter lim="800000"/>
                        </a:ln>
                      </wps:spPr>
                      <wps:bodyPr rot="0" vert="horz" wrap="square" lIns="91440" tIns="45720" rIns="91440" bIns="45720" anchor="t" anchorCtr="0" upright="1">
                        <a:noAutofit/>
                      </wps:bodyPr>
                    </wps:wsp>
                  </a:graphicData>
                </a:graphic>
              </wp:anchor>
            </w:drawing>
          </mc:Choice>
          <mc:Fallback>
            <w:pict>
              <v:rect id="矩形 2" o:spid="_x0000_s1026" o:spt="1" style="position:absolute;left:0pt;margin-left:117.7pt;margin-top:10.35pt;height:144pt;width:259.55pt;z-index:-251672576;mso-width-relative:page;mso-height-relative:page;" fillcolor="#FFFFFF" filled="t" stroked="t" coordsize="21600,21600" o:gfxdata="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6xuuEtkAAAAKAQAADwAAAAAAAAABACAAAAAiAAAAZHJzL2Rvd25yZXYueG1sUEsBAhQAFAAA&#10;AAgAh07iQJHYejEnAgAANgQAAA4AAAAAAAAAAQAgAAAAKAEAAGRycy9lMm9Eb2MueG1sUEsFBgAA&#10;AAAGAAYAWQEAAMEFAAAAAA==&#10;">
                <v:fill on="t" focussize="0,0"/>
                <v:stroke weight="4.5pt" color="#000000" linestyle="thickThin" miterlimit="8" joinstyle="miter"/>
                <v:imagedata o:title=""/>
                <o:lock v:ext="edit" aspectratio="f"/>
              </v:rect>
            </w:pict>
          </mc:Fallback>
        </mc:AlternateContent>
      </w:r>
    </w:p>
    <w:p>
      <w:pPr>
        <w:spacing w:line="360" w:lineRule="auto"/>
        <w:ind w:firstLine="480"/>
        <w:contextualSpacing/>
        <w:rPr>
          <w:color w:val="000000"/>
          <w:sz w:val="28"/>
        </w:rPr>
      </w:pPr>
      <w:r>
        <mc:AlternateContent>
          <mc:Choice Requires="wps">
            <w:drawing>
              <wp:anchor distT="0" distB="0" distL="114300" distR="114300" simplePos="0" relativeHeight="251638784" behindDoc="0" locked="0" layoutInCell="1" allowOverlap="1">
                <wp:simplePos x="0" y="0"/>
                <wp:positionH relativeFrom="column">
                  <wp:posOffset>3162935</wp:posOffset>
                </wp:positionH>
                <wp:positionV relativeFrom="paragraph">
                  <wp:posOffset>353060</wp:posOffset>
                </wp:positionV>
                <wp:extent cx="0" cy="600075"/>
                <wp:effectExtent l="57785" t="9525" r="56515" b="19050"/>
                <wp:wrapNone/>
                <wp:docPr id="109" name="自选图形 10"/>
                <wp:cNvGraphicFramePr/>
                <a:graphic xmlns:a="http://schemas.openxmlformats.org/drawingml/2006/main">
                  <a:graphicData uri="http://schemas.microsoft.com/office/word/2010/wordprocessingShape">
                    <wps:wsp>
                      <wps:cNvCnPr>
                        <a:cxnSpLocks noChangeShapeType="1"/>
                      </wps:cNvCnPr>
                      <wps:spPr bwMode="auto">
                        <a:xfrm>
                          <a:off x="0" y="0"/>
                          <a:ext cx="0" cy="600075"/>
                        </a:xfrm>
                        <a:prstGeom prst="straightConnector1">
                          <a:avLst/>
                        </a:prstGeom>
                        <a:noFill/>
                        <a:ln w="9525">
                          <a:solidFill>
                            <a:srgbClr val="000000"/>
                          </a:solidFill>
                          <a:round/>
                          <a:tailEnd type="triangle" w="med" len="med"/>
                        </a:ln>
                      </wps:spPr>
                      <wps:bodyPr/>
                    </wps:wsp>
                  </a:graphicData>
                </a:graphic>
              </wp:anchor>
            </w:drawing>
          </mc:Choice>
          <mc:Fallback>
            <w:pict>
              <v:shape id="自选图形 10" o:spid="_x0000_s1026" o:spt="32" type="#_x0000_t32" style="position:absolute;left:0pt;margin-left:249.05pt;margin-top:27.8pt;height:47.25pt;width:0pt;z-index:251638784;mso-width-relative:page;mso-height-relative:page;" filled="f" stroked="t" coordsize="21600,21600" o:gfxdata="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v&#10;s0cL2AAAAAoBAAAPAAAAAAAAAAEAIAAAACIAAABkcnMvZG93bnJldi54bWxQSwECFAAUAAAACACH&#10;TuJAxfoSb+sBAACXAwAADgAAAAAAAAABACAAAAAnAQAAZHJzL2Uyb0RvYy54bWxQSwUGAAAAAAYA&#10;BgBZAQAAhAU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39808" behindDoc="0" locked="0" layoutInCell="1" allowOverlap="1">
                <wp:simplePos x="0" y="0"/>
                <wp:positionH relativeFrom="column">
                  <wp:posOffset>3324860</wp:posOffset>
                </wp:positionH>
                <wp:positionV relativeFrom="paragraph">
                  <wp:posOffset>334010</wp:posOffset>
                </wp:positionV>
                <wp:extent cx="0" cy="611505"/>
                <wp:effectExtent l="57785" t="19050" r="56515" b="7620"/>
                <wp:wrapNone/>
                <wp:docPr id="108" name="自选图形 11"/>
                <wp:cNvGraphicFramePr/>
                <a:graphic xmlns:a="http://schemas.openxmlformats.org/drawingml/2006/main">
                  <a:graphicData uri="http://schemas.microsoft.com/office/word/2010/wordprocessingShape">
                    <wps:wsp>
                      <wps:cNvCnPr>
                        <a:cxnSpLocks noChangeShapeType="1"/>
                      </wps:cNvCnPr>
                      <wps:spPr bwMode="auto">
                        <a:xfrm flipV="1">
                          <a:off x="0" y="0"/>
                          <a:ext cx="0" cy="611505"/>
                        </a:xfrm>
                        <a:prstGeom prst="straightConnector1">
                          <a:avLst/>
                        </a:prstGeom>
                        <a:noFill/>
                        <a:ln w="9525">
                          <a:solidFill>
                            <a:srgbClr val="000000"/>
                          </a:solidFill>
                          <a:round/>
                          <a:tailEnd type="triangle" w="med" len="med"/>
                        </a:ln>
                      </wps:spPr>
                      <wps:bodyPr/>
                    </wps:wsp>
                  </a:graphicData>
                </a:graphic>
              </wp:anchor>
            </w:drawing>
          </mc:Choice>
          <mc:Fallback>
            <w:pict>
              <v:shape id="自选图形 11" o:spid="_x0000_s1026" o:spt="32" type="#_x0000_t32" style="position:absolute;left:0pt;flip:y;margin-left:261.8pt;margin-top:26.3pt;height:48.15pt;width:0pt;z-index:251639808;mso-width-relative:page;mso-height-relative:page;" filled="f" stroked="t" coordsize="21600,21600" o:gfxdata="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VIuPV1wAAAAoBAAAPAAAAAAAAAAEAIAAAACIAAABkcnMvZG93bnJldi54bWxQSwECFAAUAAAA&#10;CACHTuJAFCN8F+8BAAChAwAADgAAAAAAAAABACAAAAAmAQAAZHJzL2Uyb0RvYy54bWxQSwUGAAAA&#10;AAYABgBZAQAAhwU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45952" behindDoc="0" locked="0" layoutInCell="1" allowOverlap="1">
                <wp:simplePos x="0" y="0"/>
                <wp:positionH relativeFrom="column">
                  <wp:posOffset>571500</wp:posOffset>
                </wp:positionH>
                <wp:positionV relativeFrom="paragraph">
                  <wp:posOffset>308610</wp:posOffset>
                </wp:positionV>
                <wp:extent cx="0" cy="812800"/>
                <wp:effectExtent l="9525" t="12700" r="9525" b="12700"/>
                <wp:wrapNone/>
                <wp:docPr id="107" name="AutoShape 89"/>
                <wp:cNvGraphicFramePr/>
                <a:graphic xmlns:a="http://schemas.openxmlformats.org/drawingml/2006/main">
                  <a:graphicData uri="http://schemas.microsoft.com/office/word/2010/wordprocessingShape">
                    <wps:wsp>
                      <wps:cNvCnPr>
                        <a:cxnSpLocks noChangeShapeType="1"/>
                      </wps:cNvCnPr>
                      <wps:spPr bwMode="auto">
                        <a:xfrm>
                          <a:off x="0" y="0"/>
                          <a:ext cx="0" cy="812800"/>
                        </a:xfrm>
                        <a:prstGeom prst="straightConnector1">
                          <a:avLst/>
                        </a:prstGeom>
                        <a:noFill/>
                        <a:ln w="9525">
                          <a:solidFill>
                            <a:srgbClr val="000000"/>
                          </a:solidFill>
                          <a:round/>
                        </a:ln>
                      </wps:spPr>
                      <wps:bodyPr/>
                    </wps:wsp>
                  </a:graphicData>
                </a:graphic>
              </wp:anchor>
            </w:drawing>
          </mc:Choice>
          <mc:Fallback>
            <w:pict>
              <v:shape id="AutoShape 89" o:spid="_x0000_s1026" o:spt="32" type="#_x0000_t32" style="position:absolute;left:0pt;margin-left:45pt;margin-top:24.3pt;height:64pt;width:0pt;z-index:251645952;mso-width-relative:page;mso-height-relative:page;" filled="f" stroked="t" coordsize="21600,21600" o:gfxdata="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Pc2SvWAAAACAEAAA8AAAAAAAAAAQAgAAAAIgAAAGRycy9kb3ducmV2LnhtbFBLAQIU&#10;ABQAAAAIAIdO4kDWiBZEvAEAAGYDAAAOAAAAAAAAAAEAIAAAACUBAABkcnMvZTJvRG9jLnhtbFBL&#10;BQYAAAAABgAGAFkBAABTBQAAAAA=&#10;">
                <v:fill on="f" focussize="0,0"/>
                <v:stroke color="#000000" joinstyle="round"/>
                <v:imagedata o:title=""/>
                <o:lock v:ext="edit" aspectratio="f"/>
              </v:shape>
            </w:pict>
          </mc:Fallback>
        </mc:AlternateContent>
      </w:r>
    </w:p>
    <w:p>
      <w:pPr>
        <w:spacing w:line="360" w:lineRule="auto"/>
        <w:ind w:firstLine="480"/>
        <w:contextualSpacing/>
        <w:rPr>
          <w:color w:val="000000"/>
          <w:sz w:val="28"/>
        </w:rPr>
      </w:pPr>
      <w:r>
        <mc:AlternateContent>
          <mc:Choice Requires="wps">
            <w:drawing>
              <wp:anchor distT="0" distB="0" distL="114300" distR="114300" simplePos="0" relativeHeight="251640832" behindDoc="0" locked="0" layoutInCell="1" allowOverlap="1">
                <wp:simplePos x="0" y="0"/>
                <wp:positionH relativeFrom="column">
                  <wp:posOffset>3362325</wp:posOffset>
                </wp:positionH>
                <wp:positionV relativeFrom="paragraph">
                  <wp:posOffset>23495</wp:posOffset>
                </wp:positionV>
                <wp:extent cx="790575" cy="396875"/>
                <wp:effectExtent l="9525" t="9525" r="9525" b="12700"/>
                <wp:wrapNone/>
                <wp:docPr id="106" name="AutoShape 32"/>
                <wp:cNvGraphicFramePr/>
                <a:graphic xmlns:a="http://schemas.openxmlformats.org/drawingml/2006/main">
                  <a:graphicData uri="http://schemas.microsoft.com/office/word/2010/wordprocessingShape">
                    <wps:wsp>
                      <wps:cNvSpPr>
                        <a:spLocks noChangeArrowheads="1"/>
                      </wps:cNvSpPr>
                      <wps:spPr bwMode="auto">
                        <a:xfrm>
                          <a:off x="0" y="0"/>
                          <a:ext cx="790575" cy="396875"/>
                        </a:xfrm>
                        <a:prstGeom prst="flowChartProcess">
                          <a:avLst/>
                        </a:prstGeom>
                        <a:solidFill>
                          <a:srgbClr val="FFFFFF"/>
                        </a:solidFill>
                        <a:ln w="9525">
                          <a:solidFill>
                            <a:srgbClr val="FFFFFF"/>
                          </a:solidFill>
                          <a:miter lim="800000"/>
                        </a:ln>
                      </wps:spPr>
                      <wps:txbx>
                        <w:txbxContent>
                          <w:p>
                            <w:pPr>
                              <w:spacing w:line="200" w:lineRule="atLeast"/>
                              <w:jc w:val="center"/>
                              <w:rPr>
                                <w:szCs w:val="21"/>
                              </w:rPr>
                            </w:pPr>
                            <w:r>
                              <w:rPr>
                                <w:rFonts w:hint="eastAsia"/>
                                <w:szCs w:val="21"/>
                              </w:rPr>
                              <w:t>相互配合</w:t>
                            </w:r>
                          </w:p>
                          <w:p>
                            <w:pPr>
                              <w:spacing w:line="200" w:lineRule="atLeast"/>
                              <w:jc w:val="center"/>
                              <w:rPr>
                                <w:szCs w:val="21"/>
                              </w:rPr>
                            </w:pPr>
                            <w:r>
                              <w:rPr>
                                <w:rFonts w:hint="eastAsia"/>
                                <w:szCs w:val="21"/>
                              </w:rPr>
                              <w:t>相互协调</w:t>
                            </w:r>
                          </w:p>
                        </w:txbxContent>
                      </wps:txbx>
                      <wps:bodyPr rot="0" vert="horz" wrap="square" lIns="0" tIns="0" rIns="0" bIns="0" anchor="t" anchorCtr="0" upright="1">
                        <a:noAutofit/>
                      </wps:bodyPr>
                    </wps:wsp>
                  </a:graphicData>
                </a:graphic>
              </wp:anchor>
            </w:drawing>
          </mc:Choice>
          <mc:Fallback>
            <w:pict>
              <v:shape id="AutoShape 32" o:spid="_x0000_s1026" o:spt="109" type="#_x0000_t109" style="position:absolute;left:0pt;margin-left:264.75pt;margin-top:1.85pt;height:31.25pt;width:62.25pt;z-index:251640832;mso-width-relative:page;mso-height-relative:page;" fillcolor="#FFFFFF" filled="t" stroked="t" coordsize="21600,21600" o:gfxdata="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Bd/ld2AAAAAgBAAAPAAAAAAAAAAEAIAAA&#10;ACIAAABkcnMvZG93bnJldi54bWxQSwECFAAUAAAACACHTuJA4/0nCQwCAAAtBAAADgAAAAAAAAAB&#10;ACAAAAAnAQAAZHJzL2Uyb0RvYy54bWxQSwUGAAAAAAYABgBZAQAApQUAAAAA&#10;">
                <v:fill on="t" focussize="0,0"/>
                <v:stroke color="#FFFFFF" miterlimit="8" joinstyle="miter"/>
                <v:imagedata o:title=""/>
                <o:lock v:ext="edit" aspectratio="f"/>
                <v:textbox inset="0mm,0mm,0mm,0mm">
                  <w:txbxContent>
                    <w:p>
                      <w:pPr>
                        <w:spacing w:line="200" w:lineRule="atLeast"/>
                        <w:jc w:val="center"/>
                        <w:rPr>
                          <w:szCs w:val="21"/>
                        </w:rPr>
                      </w:pPr>
                      <w:r>
                        <w:rPr>
                          <w:rFonts w:hint="eastAsia"/>
                          <w:szCs w:val="21"/>
                        </w:rPr>
                        <w:t>相互配合</w:t>
                      </w:r>
                    </w:p>
                    <w:p>
                      <w:pPr>
                        <w:spacing w:line="200" w:lineRule="atLeast"/>
                        <w:jc w:val="center"/>
                        <w:rPr>
                          <w:szCs w:val="21"/>
                        </w:rPr>
                      </w:pPr>
                      <w:r>
                        <w:rPr>
                          <w:rFonts w:hint="eastAsia"/>
                          <w:szCs w:val="21"/>
                        </w:rPr>
                        <w:t>相互协调</w:t>
                      </w:r>
                    </w:p>
                  </w:txbxContent>
                </v:textbox>
              </v:shape>
            </w:pict>
          </mc:Fallback>
        </mc:AlternateContent>
      </w:r>
    </w:p>
    <w:p>
      <w:pPr>
        <w:spacing w:line="360" w:lineRule="auto"/>
        <w:ind w:firstLine="480"/>
        <w:contextualSpacing/>
        <w:rPr>
          <w:color w:val="000000"/>
          <w:sz w:val="28"/>
        </w:rPr>
      </w:pPr>
      <w:r>
        <mc:AlternateContent>
          <mc:Choice Requires="wps">
            <w:drawing>
              <wp:anchor distT="0" distB="0" distL="114300" distR="114300" simplePos="0" relativeHeight="251642880" behindDoc="0" locked="0" layoutInCell="1" allowOverlap="1">
                <wp:simplePos x="0" y="0"/>
                <wp:positionH relativeFrom="column">
                  <wp:posOffset>1876425</wp:posOffset>
                </wp:positionH>
                <wp:positionV relativeFrom="paragraph">
                  <wp:posOffset>153035</wp:posOffset>
                </wp:positionV>
                <wp:extent cx="2705100" cy="426720"/>
                <wp:effectExtent l="9525" t="11430" r="9525" b="9525"/>
                <wp:wrapNone/>
                <wp:docPr id="105" name="矩形 13"/>
                <wp:cNvGraphicFramePr/>
                <a:graphic xmlns:a="http://schemas.openxmlformats.org/drawingml/2006/main">
                  <a:graphicData uri="http://schemas.microsoft.com/office/word/2010/wordprocessingShape">
                    <wps:wsp>
                      <wps:cNvSpPr>
                        <a:spLocks noChangeArrowheads="1"/>
                      </wps:cNvSpPr>
                      <wps:spPr bwMode="auto">
                        <a:xfrm>
                          <a:off x="0" y="0"/>
                          <a:ext cx="2705100" cy="426720"/>
                        </a:xfrm>
                        <a:prstGeom prst="rect">
                          <a:avLst/>
                        </a:prstGeom>
                        <a:solidFill>
                          <a:srgbClr val="FFFFFF"/>
                        </a:solidFill>
                        <a:ln w="9525">
                          <a:solidFill>
                            <a:srgbClr val="000000"/>
                          </a:solidFill>
                          <a:miter lim="800000"/>
                        </a:ln>
                      </wps:spPr>
                      <wps:txbx>
                        <w:txbxContent>
                          <w:p>
                            <w:pPr>
                              <w:jc w:val="center"/>
                            </w:pPr>
                            <w:r>
                              <w:rPr>
                                <w:rFonts w:hint="eastAsia"/>
                              </w:rPr>
                              <w:t>《</w:t>
                            </w:r>
                            <w:r>
                              <w:rPr>
                                <w:rFonts w:hint="eastAsia"/>
                                <w:color w:val="FF0000"/>
                                <w:lang w:eastAsia="zh-CN"/>
                              </w:rPr>
                              <w:t>中国石化销售股份有限公司江西南昌红谷滩石油分公司世纪星加油站</w:t>
                            </w:r>
                            <w:r>
                              <w:rPr>
                                <w:rFonts w:hint="eastAsia"/>
                              </w:rPr>
                              <w:t>突发环境事件应急预案》</w:t>
                            </w:r>
                          </w:p>
                        </w:txbxContent>
                      </wps:txbx>
                      <wps:bodyPr rot="0" vert="horz" wrap="square" lIns="0" tIns="0" rIns="0" bIns="0" anchor="ctr" anchorCtr="0" upright="1">
                        <a:noAutofit/>
                      </wps:bodyPr>
                    </wps:wsp>
                  </a:graphicData>
                </a:graphic>
              </wp:anchor>
            </w:drawing>
          </mc:Choice>
          <mc:Fallback>
            <w:pict>
              <v:rect id="矩形 13" o:spid="_x0000_s1026" o:spt="1" style="position:absolute;left:0pt;margin-left:147.75pt;margin-top:12.05pt;height:33.6pt;width:213pt;z-index:251642880;v-text-anchor:middle;mso-width-relative:page;mso-height-relative:page;" fillcolor="#FFFFFF" filled="t" stroked="t" coordsize="21600,21600" o:gfxdata="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rdiCu1gAAAAkBAAAPAAAA&#10;AAAAAAEAIAAAACIAAABkcnMvZG93bnJldi54bWxQSwECFAAUAAAACACHTuJAqlqgaxcCAAAhBAAA&#10;DgAAAAAAAAABACAAAAAlAQAAZHJzL2Uyb0RvYy54bWxQSwUGAAAAAAYABgBZAQAArgUAAAAA&#10;">
                <v:fill on="t" focussize="0,0"/>
                <v:stroke color="#000000" miterlimit="8" joinstyle="miter"/>
                <v:imagedata o:title=""/>
                <o:lock v:ext="edit" aspectratio="f"/>
                <v:textbox inset="0mm,0mm,0mm,0mm">
                  <w:txbxContent>
                    <w:p>
                      <w:pPr>
                        <w:jc w:val="center"/>
                      </w:pPr>
                      <w:r>
                        <w:rPr>
                          <w:rFonts w:hint="eastAsia"/>
                        </w:rPr>
                        <w:t>《</w:t>
                      </w:r>
                      <w:r>
                        <w:rPr>
                          <w:rFonts w:hint="eastAsia"/>
                          <w:color w:val="FF0000"/>
                          <w:lang w:eastAsia="zh-CN"/>
                        </w:rPr>
                        <w:t>中国石化销售股份有限公司江西南昌红谷滩石油分公司世纪星加油站</w:t>
                      </w:r>
                      <w:r>
                        <w:rPr>
                          <w:rFonts w:hint="eastAsia"/>
                        </w:rPr>
                        <w:t>突发环境事件应急预案》</w:t>
                      </w:r>
                    </w:p>
                  </w:txbxContent>
                </v:textbox>
              </v:rect>
            </w:pict>
          </mc:Fallback>
        </mc:AlternateContent>
      </w:r>
      <w:r>
        <mc:AlternateContent>
          <mc:Choice Requires="wps">
            <w:drawing>
              <wp:anchor distT="0" distB="0" distL="114300" distR="114300" simplePos="0" relativeHeight="251646976" behindDoc="0" locked="0" layoutInCell="1" allowOverlap="1">
                <wp:simplePos x="0" y="0"/>
                <wp:positionH relativeFrom="column">
                  <wp:posOffset>571500</wp:posOffset>
                </wp:positionH>
                <wp:positionV relativeFrom="paragraph">
                  <wp:posOffset>328930</wp:posOffset>
                </wp:positionV>
                <wp:extent cx="1304925" cy="0"/>
                <wp:effectExtent l="9525" t="53975" r="19050" b="60325"/>
                <wp:wrapNone/>
                <wp:docPr id="104" name="AutoShape 90"/>
                <wp:cNvGraphicFramePr/>
                <a:graphic xmlns:a="http://schemas.openxmlformats.org/drawingml/2006/main">
                  <a:graphicData uri="http://schemas.microsoft.com/office/word/2010/wordprocessingShape">
                    <wps:wsp>
                      <wps:cNvCnPr>
                        <a:cxnSpLocks noChangeShapeType="1"/>
                      </wps:cNvCnPr>
                      <wps:spPr bwMode="auto">
                        <a:xfrm>
                          <a:off x="0" y="0"/>
                          <a:ext cx="1304925" cy="0"/>
                        </a:xfrm>
                        <a:prstGeom prst="straightConnector1">
                          <a:avLst/>
                        </a:prstGeom>
                        <a:noFill/>
                        <a:ln w="9525">
                          <a:solidFill>
                            <a:srgbClr val="000000"/>
                          </a:solidFill>
                          <a:round/>
                          <a:tailEnd type="triangle" w="med" len="med"/>
                        </a:ln>
                      </wps:spPr>
                      <wps:bodyPr/>
                    </wps:wsp>
                  </a:graphicData>
                </a:graphic>
              </wp:anchor>
            </w:drawing>
          </mc:Choice>
          <mc:Fallback>
            <w:pict>
              <v:shape id="AutoShape 90" o:spid="_x0000_s1026" o:spt="32" type="#_x0000_t32" style="position:absolute;left:0pt;margin-left:45pt;margin-top:25.9pt;height:0pt;width:102.75pt;z-index:251646976;mso-width-relative:page;mso-height-relative:page;" filled="f" stroked="t" coordsize="21600,21600" o:gfxdata="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scU/i1wAAAAgBAAAPAAAAAAAAAAEAIAAA&#10;ACIAAABkcnMvZG93bnJldi54bWxQSwECFAAUAAAACACHTuJA8xgW19QBAACVAwAADgAAAAAAAAAB&#10;ACAAAAAmAQAAZHJzL2Uyb0RvYy54bWxQSwUGAAAAAAYABgBZAQAAbAUAAAAA&#10;">
                <v:fill on="f" focussize="0,0"/>
                <v:stroke color="#000000" joinstyle="round" endarrow="block"/>
                <v:imagedata o:title=""/>
                <o:lock v:ext="edit" aspectratio="f"/>
              </v:shape>
            </w:pict>
          </mc:Fallback>
        </mc:AlternateContent>
      </w:r>
    </w:p>
    <w:p>
      <w:pPr>
        <w:spacing w:line="360" w:lineRule="auto"/>
        <w:ind w:firstLine="480"/>
        <w:contextualSpacing/>
        <w:rPr>
          <w:color w:val="000000"/>
          <w:sz w:val="28"/>
        </w:rPr>
      </w:pPr>
      <w:r>
        <w:rPr>
          <w:color w:val="000000"/>
          <w:sz w:val="28"/>
        </w:rPr>
        <w:t xml:space="preserve">    </w:t>
      </w:r>
      <w:r>
        <w:rPr>
          <w:color w:val="000000"/>
          <w:szCs w:val="21"/>
        </w:rPr>
        <w:t>参照标准</w:t>
      </w:r>
    </w:p>
    <w:p>
      <w:pPr>
        <w:spacing w:line="360" w:lineRule="auto"/>
        <w:ind w:firstLine="480"/>
        <w:contextualSpacing/>
        <w:rPr>
          <w:color w:val="000000"/>
          <w:sz w:val="28"/>
        </w:rPr>
      </w:pPr>
      <w:r>
        <w:rPr>
          <w:rFonts w:hint="eastAsia"/>
          <w:color w:val="000000"/>
          <w:sz w:val="28"/>
        </w:rPr>
        <w:t xml:space="preserve"> </w:t>
      </w:r>
    </w:p>
    <w:p>
      <w:pPr>
        <w:spacing w:line="440" w:lineRule="exact"/>
        <w:contextualSpacing/>
        <w:jc w:val="center"/>
        <w:rPr>
          <w:b/>
          <w:color w:val="000000"/>
        </w:rPr>
      </w:pPr>
      <w:r>
        <w:rPr>
          <w:rFonts w:hAnsi="宋体"/>
          <w:b/>
          <w:color w:val="000000"/>
        </w:rPr>
        <w:t>图</w:t>
      </w:r>
      <w:r>
        <w:rPr>
          <w:b/>
          <w:color w:val="000000"/>
        </w:rPr>
        <w:t xml:space="preserve">1.4-1  </w:t>
      </w:r>
      <w:r>
        <w:rPr>
          <w:rFonts w:hAnsi="宋体"/>
          <w:b/>
          <w:color w:val="000000"/>
        </w:rPr>
        <w:t>应急预案体系图</w:t>
      </w:r>
    </w:p>
    <w:p>
      <w:pPr>
        <w:spacing w:before="60" w:after="60" w:line="500" w:lineRule="exact"/>
        <w:outlineLvl w:val="1"/>
        <w:rPr>
          <w:rFonts w:eastAsia="黑体"/>
          <w:b/>
          <w:snapToGrid w:val="0"/>
          <w:spacing w:val="4"/>
          <w:kern w:val="0"/>
          <w:sz w:val="28"/>
          <w:szCs w:val="30"/>
        </w:rPr>
      </w:pPr>
      <w:bookmarkStart w:id="29" w:name="_Toc336596908"/>
      <w:bookmarkStart w:id="30" w:name="_Toc10105639"/>
      <w:bookmarkStart w:id="31" w:name="_Toc336595865"/>
      <w:bookmarkStart w:id="32" w:name="_Toc484163903"/>
      <w:bookmarkStart w:id="33" w:name="_Toc336595750"/>
      <w:bookmarkStart w:id="34" w:name="_Toc336595386"/>
      <w:r>
        <w:rPr>
          <w:rFonts w:eastAsia="黑体"/>
          <w:b/>
          <w:snapToGrid w:val="0"/>
          <w:spacing w:val="4"/>
          <w:kern w:val="0"/>
          <w:sz w:val="28"/>
          <w:szCs w:val="30"/>
        </w:rPr>
        <w:t>1.5工作原则</w:t>
      </w:r>
      <w:bookmarkEnd w:id="29"/>
      <w:bookmarkEnd w:id="30"/>
      <w:bookmarkEnd w:id="31"/>
      <w:bookmarkEnd w:id="32"/>
      <w:bookmarkEnd w:id="33"/>
      <w:bookmarkEnd w:id="34"/>
      <w:r>
        <w:rPr>
          <w:rFonts w:eastAsia="黑体"/>
          <w:b/>
          <w:snapToGrid w:val="0"/>
          <w:spacing w:val="4"/>
          <w:kern w:val="0"/>
          <w:sz w:val="28"/>
          <w:szCs w:val="30"/>
        </w:rPr>
        <w:t xml:space="preserve"> </w:t>
      </w:r>
    </w:p>
    <w:p>
      <w:pPr>
        <w:spacing w:line="480" w:lineRule="exact"/>
        <w:ind w:firstLine="480" w:firstLineChars="200"/>
        <w:rPr>
          <w:sz w:val="24"/>
        </w:rPr>
        <w:sectPr>
          <w:footerReference r:id="rId6" w:type="default"/>
          <w:pgSz w:w="11906" w:h="16838"/>
          <w:pgMar w:top="1440" w:right="1800" w:bottom="1440" w:left="1800" w:header="851" w:footer="992" w:gutter="0"/>
          <w:pgNumType w:start="1"/>
          <w:cols w:space="425" w:num="1"/>
          <w:docGrid w:type="lines" w:linePitch="312" w:charSpace="0"/>
        </w:sectPr>
      </w:pPr>
      <w:r>
        <w:rPr>
          <w:rFonts w:hint="eastAsia" w:hAnsi="宋体"/>
          <w:color w:val="FF0000"/>
          <w:sz w:val="24"/>
          <w:lang w:eastAsia="zh-CN"/>
        </w:rPr>
        <w:t>中国石化销售股份有限公司江西南昌红谷滩石油分公司世纪星加油站</w:t>
      </w:r>
      <w:r>
        <w:rPr>
          <w:color w:val="000000" w:themeColor="text1"/>
          <w:sz w:val="24"/>
          <w14:textFill>
            <w14:solidFill>
              <w14:schemeClr w14:val="tx1"/>
            </w14:solidFill>
          </w14:textFill>
        </w:rPr>
        <w:t>突发环境事件应急预案</w:t>
      </w:r>
      <w:r>
        <w:rPr>
          <w:sz w:val="24"/>
        </w:rPr>
        <w:t>坚持以人为本，环保优先；预防为主，防控结合；快速响应，高效统一；就近处置，防止扩散；科学应急，损失最小；汲取经验，持续改进为原则，树立全面、协调、可持续的科学发展观，提高企业应对突发环境事件的能力。</w:t>
      </w:r>
    </w:p>
    <w:p>
      <w:pPr>
        <w:outlineLvl w:val="0"/>
        <w:rPr>
          <w:rFonts w:eastAsia="楷体"/>
          <w:b/>
          <w:snapToGrid w:val="0"/>
          <w:spacing w:val="4"/>
          <w:kern w:val="0"/>
          <w:sz w:val="30"/>
          <w:szCs w:val="32"/>
        </w:rPr>
      </w:pPr>
      <w:bookmarkStart w:id="35" w:name="_Toc484163904"/>
      <w:bookmarkStart w:id="36" w:name="_Toc10105640"/>
      <w:r>
        <w:rPr>
          <w:rFonts w:eastAsia="楷体"/>
          <w:b/>
          <w:snapToGrid w:val="0"/>
          <w:spacing w:val="4"/>
          <w:kern w:val="0"/>
          <w:sz w:val="30"/>
          <w:szCs w:val="32"/>
        </w:rPr>
        <w:t>2</w:t>
      </w:r>
      <w:r>
        <w:rPr>
          <w:rFonts w:hint="eastAsia" w:eastAsia="楷体"/>
          <w:b/>
          <w:snapToGrid w:val="0"/>
          <w:spacing w:val="4"/>
          <w:kern w:val="0"/>
          <w:sz w:val="30"/>
          <w:szCs w:val="32"/>
        </w:rPr>
        <w:t xml:space="preserve"> </w:t>
      </w:r>
      <w:r>
        <w:rPr>
          <w:rFonts w:eastAsia="楷体"/>
          <w:b/>
          <w:snapToGrid w:val="0"/>
          <w:spacing w:val="4"/>
          <w:kern w:val="0"/>
          <w:sz w:val="30"/>
          <w:szCs w:val="32"/>
        </w:rPr>
        <w:t>企业基本情况</w:t>
      </w:r>
      <w:bookmarkEnd w:id="35"/>
      <w:bookmarkEnd w:id="36"/>
    </w:p>
    <w:p>
      <w:pPr>
        <w:spacing w:before="60" w:after="60" w:line="500" w:lineRule="exact"/>
        <w:outlineLvl w:val="1"/>
        <w:rPr>
          <w:rFonts w:eastAsia="黑体"/>
          <w:b/>
          <w:snapToGrid w:val="0"/>
          <w:spacing w:val="4"/>
          <w:kern w:val="0"/>
          <w:sz w:val="28"/>
          <w:szCs w:val="30"/>
        </w:rPr>
      </w:pPr>
      <w:bookmarkStart w:id="37" w:name="_Toc336595388"/>
      <w:bookmarkStart w:id="38" w:name="_Toc336596910"/>
      <w:bookmarkStart w:id="39" w:name="_Toc10105641"/>
      <w:bookmarkStart w:id="40" w:name="_Toc336595752"/>
      <w:bookmarkStart w:id="41" w:name="_Toc336595867"/>
      <w:bookmarkStart w:id="42" w:name="_Toc484163905"/>
      <w:r>
        <w:rPr>
          <w:rFonts w:eastAsia="黑体"/>
          <w:b/>
          <w:snapToGrid w:val="0"/>
          <w:spacing w:val="4"/>
          <w:kern w:val="0"/>
          <w:sz w:val="28"/>
          <w:szCs w:val="30"/>
        </w:rPr>
        <w:t>2.1企业概况</w:t>
      </w:r>
      <w:bookmarkEnd w:id="37"/>
      <w:bookmarkEnd w:id="38"/>
      <w:bookmarkEnd w:id="39"/>
      <w:bookmarkEnd w:id="40"/>
      <w:bookmarkEnd w:id="41"/>
      <w:bookmarkEnd w:id="42"/>
      <w:r>
        <w:rPr>
          <w:rFonts w:eastAsia="黑体"/>
          <w:b/>
          <w:snapToGrid w:val="0"/>
          <w:spacing w:val="4"/>
          <w:kern w:val="0"/>
          <w:sz w:val="28"/>
          <w:szCs w:val="30"/>
        </w:rPr>
        <w:tab/>
      </w:r>
    </w:p>
    <w:p>
      <w:pPr>
        <w:spacing w:line="500" w:lineRule="exact"/>
        <w:ind w:firstLine="480" w:firstLineChars="200"/>
        <w:rPr>
          <w:rFonts w:hAnsi="宋体"/>
          <w:color w:val="FF0000"/>
          <w:sz w:val="24"/>
          <w:szCs w:val="24"/>
        </w:rPr>
      </w:pPr>
      <w:bookmarkStart w:id="43" w:name="_Toc500487272"/>
      <w:bookmarkStart w:id="44" w:name="_Toc10105642"/>
      <w:bookmarkStart w:id="45" w:name="_Toc497226192"/>
      <w:bookmarkStart w:id="46" w:name="_Toc484163978"/>
      <w:r>
        <w:rPr>
          <w:rFonts w:hint="eastAsia" w:hAnsi="宋体"/>
          <w:color w:val="FF0000"/>
          <w:sz w:val="24"/>
          <w:szCs w:val="24"/>
          <w:lang w:eastAsia="zh-CN"/>
        </w:rPr>
        <w:t>世纪星加油站</w:t>
      </w:r>
      <w:r>
        <w:rPr>
          <w:rFonts w:hAnsi="宋体"/>
          <w:color w:val="FF0000"/>
          <w:sz w:val="24"/>
          <w:szCs w:val="24"/>
        </w:rPr>
        <w:t>位于</w:t>
      </w:r>
      <w:r>
        <w:rPr>
          <w:rFonts w:hint="eastAsia" w:hAnsi="宋体"/>
          <w:color w:val="FF0000"/>
          <w:sz w:val="24"/>
          <w:szCs w:val="24"/>
          <w:lang w:eastAsia="zh-CN"/>
        </w:rPr>
        <w:t>南昌市昌</w:t>
      </w:r>
      <w:r>
        <w:rPr>
          <w:rFonts w:hint="eastAsia" w:ascii="宋体" w:hAnsi="宋体" w:eastAsia="宋体" w:cs="宋体"/>
          <w:color w:val="FF0000"/>
          <w:sz w:val="24"/>
          <w:szCs w:val="24"/>
          <w:lang w:eastAsia="zh-CN"/>
        </w:rPr>
        <w:t>北瀛</w:t>
      </w:r>
      <w:r>
        <w:rPr>
          <w:rFonts w:hint="eastAsia" w:ascii="宋体" w:hAnsi="宋体" w:eastAsia="宋体" w:cs="宋体"/>
          <w:color w:val="FF0000"/>
          <w:sz w:val="24"/>
          <w:szCs w:val="24"/>
          <w:lang w:val="en-US" w:eastAsia="zh-CN"/>
        </w:rPr>
        <w:t>(</w:t>
      </w:r>
      <w:r>
        <w:rPr>
          <w:rFonts w:hint="eastAsia" w:ascii="宋体" w:hAnsi="宋体" w:cs="宋体"/>
          <w:color w:val="FF0000"/>
          <w:sz w:val="24"/>
          <w:szCs w:val="24"/>
          <w:lang w:val="en-US" w:eastAsia="zh-CN"/>
        </w:rPr>
        <w:t>昌北开发区舍里甲</w:t>
      </w:r>
      <w:r>
        <w:rPr>
          <w:rFonts w:hint="eastAsia" w:ascii="宋体" w:hAnsi="宋体" w:eastAsia="宋体" w:cs="宋体"/>
          <w:color w:val="FF0000"/>
          <w:sz w:val="24"/>
          <w:szCs w:val="24"/>
          <w:lang w:val="en-US" w:eastAsia="zh-CN"/>
        </w:rPr>
        <w:t>)</w:t>
      </w:r>
      <w:r>
        <w:rPr>
          <w:rFonts w:hint="eastAsia" w:ascii="宋体" w:hAnsi="宋体" w:eastAsia="宋体" w:cs="宋体"/>
          <w:color w:val="FF0000"/>
          <w:sz w:val="24"/>
          <w:szCs w:val="24"/>
        </w:rPr>
        <w:t>。</w:t>
      </w:r>
      <w:r>
        <w:rPr>
          <w:rFonts w:hint="eastAsia" w:hAnsi="宋体"/>
          <w:color w:val="FF0000"/>
          <w:sz w:val="24"/>
          <w:szCs w:val="24"/>
        </w:rPr>
        <w:t>该站设置</w:t>
      </w:r>
      <w:r>
        <w:rPr>
          <w:rFonts w:hint="eastAsia" w:hAnsi="宋体"/>
          <w:color w:val="FF0000"/>
          <w:sz w:val="24"/>
          <w:szCs w:val="24"/>
          <w:lang w:val="en-US" w:eastAsia="zh-CN"/>
        </w:rPr>
        <w:t>5</w:t>
      </w:r>
      <w:r>
        <w:rPr>
          <w:rFonts w:hAnsi="宋体"/>
          <w:color w:val="FF0000"/>
          <w:sz w:val="24"/>
          <w:szCs w:val="24"/>
        </w:rPr>
        <w:t>台30m</w:t>
      </w:r>
      <w:r>
        <w:rPr>
          <w:rFonts w:hAnsi="宋体"/>
          <w:color w:val="FF0000"/>
          <w:sz w:val="24"/>
          <w:szCs w:val="24"/>
          <w:vertAlign w:val="superscript"/>
        </w:rPr>
        <w:t>3</w:t>
      </w:r>
      <w:r>
        <w:rPr>
          <w:rFonts w:hAnsi="宋体"/>
          <w:color w:val="FF0000"/>
          <w:sz w:val="24"/>
          <w:szCs w:val="24"/>
        </w:rPr>
        <w:t>的汽油卧式油罐，双枪机油机</w:t>
      </w:r>
      <w:r>
        <w:rPr>
          <w:rFonts w:hint="eastAsia" w:hAnsi="宋体"/>
          <w:color w:val="FF0000"/>
          <w:sz w:val="24"/>
          <w:szCs w:val="24"/>
        </w:rPr>
        <w:t>6</w:t>
      </w:r>
      <w:r>
        <w:rPr>
          <w:rFonts w:hAnsi="宋体"/>
          <w:color w:val="FF0000"/>
          <w:sz w:val="24"/>
          <w:szCs w:val="24"/>
        </w:rPr>
        <w:t>台，计</w:t>
      </w:r>
      <w:r>
        <w:rPr>
          <w:rFonts w:hint="eastAsia" w:hAnsi="宋体"/>
          <w:color w:val="FF0000"/>
          <w:sz w:val="24"/>
          <w:szCs w:val="24"/>
        </w:rPr>
        <w:t>12</w:t>
      </w:r>
      <w:r>
        <w:rPr>
          <w:rFonts w:hAnsi="宋体"/>
          <w:color w:val="FF0000"/>
          <w:sz w:val="24"/>
          <w:szCs w:val="24"/>
        </w:rPr>
        <w:t>枪。</w:t>
      </w:r>
    </w:p>
    <w:p>
      <w:pPr>
        <w:spacing w:line="600" w:lineRule="exact"/>
        <w:ind w:firstLine="480" w:firstLineChars="200"/>
        <w:rPr>
          <w:color w:val="FF0000"/>
          <w:shd w:val="clear" w:color="auto" w:fill="FFFFFF"/>
        </w:rPr>
      </w:pPr>
      <w:r>
        <w:rPr>
          <w:rFonts w:hint="eastAsia" w:hAnsi="宋体"/>
          <w:color w:val="FF0000"/>
          <w:sz w:val="24"/>
          <w:szCs w:val="24"/>
          <w:lang w:eastAsia="zh-CN"/>
        </w:rPr>
        <w:t>中国石化销售股份有限公司江西南昌红谷滩石油分公司世纪星加油站</w:t>
      </w:r>
      <w:r>
        <w:rPr>
          <w:rFonts w:hint="eastAsia"/>
          <w:color w:val="FF0000"/>
          <w:sz w:val="24"/>
          <w:szCs w:val="24"/>
          <w:shd w:val="clear" w:color="auto" w:fill="FFFFFF"/>
        </w:rPr>
        <w:t>劳动</w:t>
      </w:r>
      <w:r>
        <w:rPr>
          <w:color w:val="FF0000"/>
          <w:sz w:val="24"/>
          <w:szCs w:val="24"/>
          <w:shd w:val="clear" w:color="auto" w:fill="FFFFFF"/>
        </w:rPr>
        <w:t>定员</w:t>
      </w:r>
      <w:r>
        <w:rPr>
          <w:rFonts w:hint="eastAsia"/>
          <w:color w:val="FF0000"/>
          <w:sz w:val="24"/>
          <w:szCs w:val="24"/>
          <w:shd w:val="clear" w:color="auto" w:fill="FFFFFF"/>
          <w:lang w:val="en-US" w:eastAsia="zh-CN"/>
        </w:rPr>
        <w:t>11</w:t>
      </w:r>
      <w:r>
        <w:rPr>
          <w:color w:val="FF0000"/>
          <w:sz w:val="24"/>
          <w:szCs w:val="24"/>
          <w:shd w:val="clear" w:color="auto" w:fill="FFFFFF"/>
        </w:rPr>
        <w:t>人</w:t>
      </w:r>
      <w:r>
        <w:rPr>
          <w:rFonts w:hint="eastAsia"/>
          <w:color w:val="FF0000"/>
          <w:sz w:val="24"/>
          <w:szCs w:val="24"/>
          <w:shd w:val="clear" w:color="auto" w:fill="FFFFFF"/>
        </w:rPr>
        <w:t>，</w:t>
      </w:r>
      <w:r>
        <w:rPr>
          <w:rFonts w:hint="eastAsia" w:hAnsi="宋体"/>
          <w:color w:val="FF0000"/>
          <w:sz w:val="24"/>
          <w:szCs w:val="24"/>
        </w:rPr>
        <w:t>实行四班三运转生产。</w:t>
      </w:r>
    </w:p>
    <w:p>
      <w:pPr>
        <w:autoSpaceDE w:val="0"/>
        <w:autoSpaceDN w:val="0"/>
        <w:adjustRightInd w:val="0"/>
        <w:spacing w:line="480" w:lineRule="exact"/>
        <w:ind w:firstLine="420" w:firstLineChars="200"/>
        <w:jc w:val="left"/>
        <w:rPr>
          <w:rFonts w:hint="eastAsia" w:cs="仿宋"/>
          <w:color w:val="000000"/>
          <w:spacing w:val="0"/>
        </w:rPr>
      </w:pPr>
      <w:r>
        <w:rPr>
          <w:rFonts w:cs="仿宋"/>
          <w:color w:val="000000"/>
          <w:spacing w:val="0"/>
        </w:rPr>
        <w:t>企业</w:t>
      </w:r>
      <w:r>
        <w:rPr>
          <w:rFonts w:hint="eastAsia" w:cs="仿宋"/>
          <w:color w:val="000000"/>
          <w:spacing w:val="0"/>
        </w:rPr>
        <w:t>详细情况见下表。</w:t>
      </w:r>
    </w:p>
    <w:p>
      <w:pPr>
        <w:spacing w:line="440" w:lineRule="exact"/>
        <w:jc w:val="center"/>
        <w:rPr>
          <w:b/>
          <w:sz w:val="21"/>
        </w:rPr>
      </w:pPr>
      <w:r>
        <w:rPr>
          <w:b/>
          <w:sz w:val="21"/>
        </w:rPr>
        <w:t>表3.1-1  企业信息一览表</w:t>
      </w:r>
    </w:p>
    <w:tbl>
      <w:tblPr>
        <w:tblStyle w:val="31"/>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6"/>
        <w:gridCol w:w="3457"/>
        <w:gridCol w:w="43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36" w:type="dxa"/>
            <w:noWrap w:val="0"/>
            <w:vAlign w:val="center"/>
          </w:tcPr>
          <w:p>
            <w:pPr>
              <w:snapToGrid w:val="0"/>
              <w:spacing w:line="320" w:lineRule="exact"/>
              <w:jc w:val="center"/>
              <w:rPr>
                <w:b/>
                <w:bCs/>
                <w:color w:val="000000"/>
                <w:sz w:val="21"/>
              </w:rPr>
            </w:pPr>
            <w:r>
              <w:rPr>
                <w:rFonts w:hAnsi="宋体"/>
                <w:b/>
                <w:bCs/>
                <w:color w:val="000000"/>
                <w:sz w:val="21"/>
              </w:rPr>
              <w:t>序号</w:t>
            </w:r>
          </w:p>
        </w:tc>
        <w:tc>
          <w:tcPr>
            <w:tcW w:w="3457" w:type="dxa"/>
            <w:noWrap w:val="0"/>
            <w:vAlign w:val="center"/>
          </w:tcPr>
          <w:p>
            <w:pPr>
              <w:snapToGrid w:val="0"/>
              <w:spacing w:line="320" w:lineRule="exact"/>
              <w:jc w:val="center"/>
              <w:rPr>
                <w:b/>
                <w:bCs/>
                <w:color w:val="000000"/>
                <w:sz w:val="21"/>
              </w:rPr>
            </w:pPr>
            <w:r>
              <w:rPr>
                <w:rFonts w:hAnsi="宋体"/>
                <w:b/>
                <w:bCs/>
                <w:color w:val="000000"/>
                <w:sz w:val="21"/>
              </w:rPr>
              <w:t>项目名称</w:t>
            </w:r>
          </w:p>
        </w:tc>
        <w:tc>
          <w:tcPr>
            <w:tcW w:w="4329" w:type="dxa"/>
            <w:noWrap w:val="0"/>
            <w:vAlign w:val="center"/>
          </w:tcPr>
          <w:p>
            <w:pPr>
              <w:snapToGrid w:val="0"/>
              <w:spacing w:line="320" w:lineRule="exact"/>
              <w:jc w:val="center"/>
              <w:rPr>
                <w:b/>
                <w:bCs/>
                <w:color w:val="000000"/>
                <w:sz w:val="21"/>
              </w:rPr>
            </w:pPr>
            <w:r>
              <w:rPr>
                <w:rFonts w:hAnsi="宋体"/>
                <w:b/>
                <w:bCs/>
                <w:color w:val="000000"/>
                <w:sz w:val="21"/>
              </w:rPr>
              <w:t>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36" w:type="dxa"/>
            <w:noWrap w:val="0"/>
            <w:vAlign w:val="center"/>
          </w:tcPr>
          <w:p>
            <w:pPr>
              <w:snapToGrid w:val="0"/>
              <w:spacing w:line="320" w:lineRule="exact"/>
              <w:jc w:val="center"/>
              <w:rPr>
                <w:color w:val="000000"/>
                <w:sz w:val="21"/>
              </w:rPr>
            </w:pPr>
            <w:r>
              <w:rPr>
                <w:color w:val="000000"/>
                <w:sz w:val="21"/>
              </w:rPr>
              <w:t>1</w:t>
            </w:r>
          </w:p>
        </w:tc>
        <w:tc>
          <w:tcPr>
            <w:tcW w:w="3457" w:type="dxa"/>
            <w:noWrap w:val="0"/>
            <w:vAlign w:val="center"/>
          </w:tcPr>
          <w:p>
            <w:pPr>
              <w:snapToGrid w:val="0"/>
              <w:spacing w:line="320" w:lineRule="exact"/>
              <w:jc w:val="center"/>
              <w:rPr>
                <w:color w:val="000000"/>
                <w:sz w:val="21"/>
              </w:rPr>
            </w:pPr>
            <w:r>
              <w:rPr>
                <w:rFonts w:hAnsi="宋体"/>
                <w:color w:val="000000"/>
                <w:sz w:val="21"/>
              </w:rPr>
              <w:t>单位名称</w:t>
            </w:r>
          </w:p>
        </w:tc>
        <w:tc>
          <w:tcPr>
            <w:tcW w:w="4329" w:type="dxa"/>
            <w:noWrap w:val="0"/>
            <w:vAlign w:val="center"/>
          </w:tcPr>
          <w:p>
            <w:pPr>
              <w:snapToGrid w:val="0"/>
              <w:spacing w:line="320" w:lineRule="exact"/>
              <w:jc w:val="center"/>
              <w:rPr>
                <w:rFonts w:hint="eastAsia" w:eastAsia="宋体"/>
                <w:color w:val="FF0000"/>
                <w:sz w:val="21"/>
                <w:lang w:eastAsia="zh-CN"/>
              </w:rPr>
            </w:pPr>
            <w:r>
              <w:rPr>
                <w:rFonts w:hint="eastAsia"/>
                <w:color w:val="FF0000"/>
                <w:sz w:val="21"/>
                <w:lang w:eastAsia="zh-CN"/>
              </w:rPr>
              <w:t>中国石化销售股份有限公司江西南昌红谷滩石油分公司世纪星加油站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36" w:type="dxa"/>
            <w:noWrap w:val="0"/>
            <w:vAlign w:val="center"/>
          </w:tcPr>
          <w:p>
            <w:pPr>
              <w:snapToGrid w:val="0"/>
              <w:spacing w:line="320" w:lineRule="exact"/>
              <w:jc w:val="center"/>
              <w:rPr>
                <w:color w:val="000000"/>
                <w:sz w:val="21"/>
              </w:rPr>
            </w:pPr>
            <w:r>
              <w:rPr>
                <w:color w:val="000000"/>
                <w:sz w:val="21"/>
              </w:rPr>
              <w:t>2</w:t>
            </w:r>
          </w:p>
        </w:tc>
        <w:tc>
          <w:tcPr>
            <w:tcW w:w="3457" w:type="dxa"/>
            <w:noWrap w:val="0"/>
            <w:vAlign w:val="center"/>
          </w:tcPr>
          <w:p>
            <w:pPr>
              <w:snapToGrid w:val="0"/>
              <w:spacing w:line="320" w:lineRule="exact"/>
              <w:jc w:val="center"/>
              <w:rPr>
                <w:color w:val="000000"/>
                <w:sz w:val="21"/>
              </w:rPr>
            </w:pPr>
            <w:r>
              <w:rPr>
                <w:rFonts w:hAnsi="宋体"/>
                <w:color w:val="000000"/>
                <w:sz w:val="21"/>
              </w:rPr>
              <w:t>统一社会信用代码</w:t>
            </w:r>
            <w:r>
              <w:rPr>
                <w:color w:val="000000"/>
                <w:sz w:val="21"/>
              </w:rPr>
              <w:t>/</w:t>
            </w:r>
            <w:r>
              <w:rPr>
                <w:rFonts w:hAnsi="宋体"/>
                <w:color w:val="000000"/>
                <w:sz w:val="21"/>
              </w:rPr>
              <w:t>组织机构代码</w:t>
            </w:r>
          </w:p>
        </w:tc>
        <w:tc>
          <w:tcPr>
            <w:tcW w:w="4329" w:type="dxa"/>
            <w:noWrap w:val="0"/>
            <w:vAlign w:val="center"/>
          </w:tcPr>
          <w:p>
            <w:pPr>
              <w:snapToGrid w:val="0"/>
              <w:spacing w:line="320" w:lineRule="exact"/>
              <w:jc w:val="center"/>
              <w:rPr>
                <w:rFonts w:hint="default" w:eastAsia="宋体"/>
                <w:color w:val="FF0000"/>
                <w:sz w:val="21"/>
                <w:lang w:val="en-US" w:eastAsia="zh-CN"/>
              </w:rPr>
            </w:pPr>
            <w:r>
              <w:rPr>
                <w:rFonts w:hint="eastAsia"/>
                <w:color w:val="FF0000"/>
                <w:sz w:val="21"/>
              </w:rPr>
              <w:t>91360100</w:t>
            </w:r>
            <w:r>
              <w:rPr>
                <w:rFonts w:hint="eastAsia"/>
                <w:color w:val="FF0000"/>
                <w:sz w:val="21"/>
                <w:lang w:val="en-US" w:eastAsia="zh-CN"/>
              </w:rPr>
              <w:t>705528446P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36" w:type="dxa"/>
            <w:noWrap w:val="0"/>
            <w:vAlign w:val="center"/>
          </w:tcPr>
          <w:p>
            <w:pPr>
              <w:snapToGrid w:val="0"/>
              <w:spacing w:line="320" w:lineRule="exact"/>
              <w:jc w:val="center"/>
              <w:rPr>
                <w:color w:val="000000"/>
                <w:sz w:val="21"/>
              </w:rPr>
            </w:pPr>
            <w:r>
              <w:rPr>
                <w:color w:val="000000"/>
                <w:sz w:val="21"/>
              </w:rPr>
              <w:t>3</w:t>
            </w:r>
          </w:p>
        </w:tc>
        <w:tc>
          <w:tcPr>
            <w:tcW w:w="3457" w:type="dxa"/>
            <w:noWrap w:val="0"/>
            <w:vAlign w:val="center"/>
          </w:tcPr>
          <w:p>
            <w:pPr>
              <w:snapToGrid w:val="0"/>
              <w:spacing w:line="320" w:lineRule="exact"/>
              <w:jc w:val="center"/>
              <w:rPr>
                <w:color w:val="000000"/>
                <w:sz w:val="21"/>
              </w:rPr>
            </w:pPr>
            <w:r>
              <w:rPr>
                <w:rFonts w:hAnsi="宋体"/>
                <w:color w:val="000000"/>
                <w:sz w:val="21"/>
              </w:rPr>
              <w:t>法人代表</w:t>
            </w:r>
          </w:p>
        </w:tc>
        <w:tc>
          <w:tcPr>
            <w:tcW w:w="4329" w:type="dxa"/>
            <w:noWrap w:val="0"/>
            <w:vAlign w:val="center"/>
          </w:tcPr>
          <w:p>
            <w:pPr>
              <w:snapToGrid w:val="0"/>
              <w:spacing w:line="320" w:lineRule="exact"/>
              <w:jc w:val="center"/>
              <w:rPr>
                <w:rFonts w:hint="eastAsia" w:eastAsia="宋体"/>
                <w:color w:val="FF0000"/>
                <w:sz w:val="21"/>
                <w:lang w:eastAsia="zh-CN"/>
              </w:rPr>
            </w:pPr>
            <w:r>
              <w:rPr>
                <w:rFonts w:hint="eastAsia"/>
                <w:color w:val="FF0000"/>
                <w:sz w:val="21"/>
                <w:lang w:eastAsia="zh-CN"/>
              </w:rPr>
              <w:t>刘剑品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36" w:type="dxa"/>
            <w:noWrap w:val="0"/>
            <w:vAlign w:val="center"/>
          </w:tcPr>
          <w:p>
            <w:pPr>
              <w:snapToGrid w:val="0"/>
              <w:spacing w:line="320" w:lineRule="exact"/>
              <w:jc w:val="center"/>
              <w:rPr>
                <w:color w:val="000000"/>
                <w:sz w:val="21"/>
              </w:rPr>
            </w:pPr>
            <w:r>
              <w:rPr>
                <w:color w:val="000000"/>
                <w:sz w:val="21"/>
              </w:rPr>
              <w:t>4</w:t>
            </w:r>
          </w:p>
        </w:tc>
        <w:tc>
          <w:tcPr>
            <w:tcW w:w="3457" w:type="dxa"/>
            <w:noWrap w:val="0"/>
            <w:vAlign w:val="center"/>
          </w:tcPr>
          <w:p>
            <w:pPr>
              <w:snapToGrid w:val="0"/>
              <w:spacing w:line="320" w:lineRule="exact"/>
              <w:jc w:val="center"/>
              <w:rPr>
                <w:color w:val="000000"/>
                <w:sz w:val="21"/>
              </w:rPr>
            </w:pPr>
            <w:r>
              <w:rPr>
                <w:rFonts w:hAnsi="宋体"/>
                <w:color w:val="000000"/>
                <w:sz w:val="21"/>
              </w:rPr>
              <w:t>单位地址</w:t>
            </w:r>
          </w:p>
        </w:tc>
        <w:tc>
          <w:tcPr>
            <w:tcW w:w="4329" w:type="dxa"/>
            <w:noWrap w:val="0"/>
            <w:vAlign w:val="center"/>
          </w:tcPr>
          <w:p>
            <w:pPr>
              <w:snapToGrid w:val="0"/>
              <w:spacing w:line="320" w:lineRule="exact"/>
              <w:jc w:val="center"/>
              <w:rPr>
                <w:color w:val="FF0000"/>
                <w:sz w:val="21"/>
              </w:rPr>
            </w:pPr>
            <w:r>
              <w:rPr>
                <w:rFonts w:hint="eastAsia" w:hAnsi="宋体"/>
                <w:color w:val="FF0000"/>
                <w:sz w:val="21"/>
                <w:szCs w:val="21"/>
                <w:lang w:eastAsia="zh-CN"/>
              </w:rPr>
              <w:t>南昌市昌</w:t>
            </w:r>
            <w:r>
              <w:rPr>
                <w:rFonts w:hint="eastAsia" w:ascii="宋体" w:hAnsi="宋体" w:eastAsia="宋体" w:cs="宋体"/>
                <w:color w:val="FF0000"/>
                <w:sz w:val="21"/>
                <w:szCs w:val="21"/>
                <w:lang w:eastAsia="zh-CN"/>
              </w:rPr>
              <w:t>北瀛</w:t>
            </w:r>
            <w:r>
              <w:rPr>
                <w:rFonts w:hint="eastAsia" w:ascii="宋体" w:hAnsi="宋体" w:eastAsia="宋体" w:cs="宋体"/>
                <w:color w:val="FF0000"/>
                <w:sz w:val="21"/>
                <w:szCs w:val="21"/>
                <w:lang w:val="en-US" w:eastAsia="zh-CN"/>
              </w:rPr>
              <w:t>(</w:t>
            </w:r>
            <w:r>
              <w:rPr>
                <w:rFonts w:hint="eastAsia" w:ascii="宋体" w:hAnsi="宋体" w:cs="宋体"/>
                <w:color w:val="FF0000"/>
                <w:sz w:val="21"/>
                <w:szCs w:val="21"/>
                <w:lang w:val="en-US" w:eastAsia="zh-CN"/>
              </w:rPr>
              <w:t>昌北开发区舍里甲</w:t>
            </w:r>
            <w:r>
              <w:rPr>
                <w:rFonts w:hint="eastAsia" w:ascii="宋体" w:hAnsi="宋体" w:eastAsia="宋体" w:cs="宋体"/>
                <w:color w:val="FF0000"/>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36" w:type="dxa"/>
            <w:noWrap w:val="0"/>
            <w:vAlign w:val="center"/>
          </w:tcPr>
          <w:p>
            <w:pPr>
              <w:snapToGrid w:val="0"/>
              <w:spacing w:line="320" w:lineRule="exact"/>
              <w:jc w:val="center"/>
              <w:rPr>
                <w:color w:val="000000"/>
                <w:sz w:val="21"/>
              </w:rPr>
            </w:pPr>
            <w:r>
              <w:rPr>
                <w:color w:val="000000"/>
                <w:sz w:val="21"/>
              </w:rPr>
              <w:t>5</w:t>
            </w:r>
          </w:p>
        </w:tc>
        <w:tc>
          <w:tcPr>
            <w:tcW w:w="3457" w:type="dxa"/>
            <w:noWrap w:val="0"/>
            <w:vAlign w:val="center"/>
          </w:tcPr>
          <w:p>
            <w:pPr>
              <w:snapToGrid w:val="0"/>
              <w:spacing w:line="320" w:lineRule="exact"/>
              <w:jc w:val="center"/>
              <w:rPr>
                <w:color w:val="000000"/>
                <w:sz w:val="21"/>
              </w:rPr>
            </w:pPr>
            <w:r>
              <w:rPr>
                <w:rFonts w:hAnsi="宋体"/>
                <w:color w:val="000000"/>
                <w:sz w:val="21"/>
              </w:rPr>
              <w:t>所属行业类别</w:t>
            </w:r>
          </w:p>
        </w:tc>
        <w:tc>
          <w:tcPr>
            <w:tcW w:w="4329" w:type="dxa"/>
            <w:noWrap w:val="0"/>
            <w:vAlign w:val="center"/>
          </w:tcPr>
          <w:p>
            <w:pPr>
              <w:snapToGrid w:val="0"/>
              <w:spacing w:line="320" w:lineRule="exact"/>
              <w:jc w:val="center"/>
              <w:rPr>
                <w:color w:val="FF0000"/>
                <w:sz w:val="21"/>
              </w:rPr>
            </w:pPr>
            <w:r>
              <w:rPr>
                <w:rFonts w:hint="eastAsia"/>
                <w:color w:val="FF0000"/>
                <w:spacing w:val="0"/>
                <w:sz w:val="21"/>
              </w:rPr>
              <w:t>F5264机动车燃料零售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36" w:type="dxa"/>
            <w:noWrap w:val="0"/>
            <w:vAlign w:val="center"/>
          </w:tcPr>
          <w:p>
            <w:pPr>
              <w:snapToGrid w:val="0"/>
              <w:spacing w:line="320" w:lineRule="exact"/>
              <w:jc w:val="center"/>
              <w:rPr>
                <w:color w:val="000000"/>
                <w:sz w:val="21"/>
              </w:rPr>
            </w:pPr>
            <w:r>
              <w:rPr>
                <w:color w:val="000000"/>
                <w:sz w:val="21"/>
              </w:rPr>
              <w:t>6</w:t>
            </w:r>
          </w:p>
        </w:tc>
        <w:tc>
          <w:tcPr>
            <w:tcW w:w="3457" w:type="dxa"/>
            <w:noWrap w:val="0"/>
            <w:vAlign w:val="center"/>
          </w:tcPr>
          <w:p>
            <w:pPr>
              <w:snapToGrid w:val="0"/>
              <w:spacing w:line="320" w:lineRule="exact"/>
              <w:jc w:val="center"/>
              <w:rPr>
                <w:color w:val="000000"/>
                <w:sz w:val="21"/>
              </w:rPr>
            </w:pPr>
            <w:r>
              <w:rPr>
                <w:rFonts w:hAnsi="宋体"/>
                <w:color w:val="000000"/>
                <w:sz w:val="21"/>
              </w:rPr>
              <w:t>成立日期</w:t>
            </w:r>
          </w:p>
        </w:tc>
        <w:tc>
          <w:tcPr>
            <w:tcW w:w="4329" w:type="dxa"/>
            <w:noWrap w:val="0"/>
            <w:vAlign w:val="center"/>
          </w:tcPr>
          <w:p>
            <w:pPr>
              <w:snapToGrid w:val="0"/>
              <w:spacing w:line="240" w:lineRule="atLeast"/>
              <w:jc w:val="center"/>
              <w:rPr>
                <w:rFonts w:hint="eastAsia"/>
                <w:color w:val="FF0000"/>
                <w:sz w:val="21"/>
              </w:rPr>
            </w:pPr>
            <w:r>
              <w:rPr>
                <w:rFonts w:hint="eastAsia"/>
                <w:color w:val="FF0000"/>
                <w:sz w:val="21"/>
                <w:lang w:val="en-US" w:eastAsia="zh-CN"/>
              </w:rPr>
              <w:t>2000</w:t>
            </w:r>
            <w:r>
              <w:rPr>
                <w:rFonts w:hint="eastAsia"/>
                <w:color w:val="FF0000"/>
                <w:sz w:val="21"/>
              </w:rPr>
              <w:t>年</w:t>
            </w:r>
            <w:r>
              <w:rPr>
                <w:rFonts w:hint="eastAsia"/>
                <w:color w:val="FF0000"/>
                <w:sz w:val="21"/>
                <w:lang w:val="en-US" w:eastAsia="zh-CN"/>
              </w:rPr>
              <w:t>12</w:t>
            </w:r>
            <w:r>
              <w:rPr>
                <w:rFonts w:hint="eastAsia"/>
                <w:color w:val="FF0000"/>
                <w:sz w:val="21"/>
              </w:rPr>
              <w:t>月</w:t>
            </w:r>
            <w:r>
              <w:rPr>
                <w:rFonts w:hint="eastAsia"/>
                <w:color w:val="FF0000"/>
                <w:sz w:val="21"/>
                <w:lang w:val="en-US" w:eastAsia="zh-CN"/>
              </w:rPr>
              <w:t>28</w:t>
            </w:r>
            <w:r>
              <w:rPr>
                <w:rFonts w:hint="eastAsia"/>
                <w:color w:val="FF0000"/>
                <w:sz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36" w:type="dxa"/>
            <w:noWrap w:val="0"/>
            <w:vAlign w:val="center"/>
          </w:tcPr>
          <w:p>
            <w:pPr>
              <w:snapToGrid w:val="0"/>
              <w:spacing w:line="320" w:lineRule="exact"/>
              <w:jc w:val="center"/>
              <w:rPr>
                <w:color w:val="000000"/>
                <w:sz w:val="21"/>
              </w:rPr>
            </w:pPr>
            <w:r>
              <w:rPr>
                <w:color w:val="000000"/>
                <w:sz w:val="21"/>
              </w:rPr>
              <w:t>7</w:t>
            </w:r>
          </w:p>
        </w:tc>
        <w:tc>
          <w:tcPr>
            <w:tcW w:w="3457" w:type="dxa"/>
            <w:noWrap w:val="0"/>
            <w:vAlign w:val="center"/>
          </w:tcPr>
          <w:p>
            <w:pPr>
              <w:snapToGrid w:val="0"/>
              <w:spacing w:line="320" w:lineRule="exact"/>
              <w:jc w:val="center"/>
              <w:rPr>
                <w:color w:val="000000"/>
                <w:sz w:val="21"/>
              </w:rPr>
            </w:pPr>
            <w:r>
              <w:rPr>
                <w:rFonts w:hAnsi="宋体"/>
                <w:color w:val="000000"/>
                <w:sz w:val="21"/>
              </w:rPr>
              <w:t>联系方式</w:t>
            </w:r>
          </w:p>
        </w:tc>
        <w:tc>
          <w:tcPr>
            <w:tcW w:w="4329" w:type="dxa"/>
            <w:noWrap w:val="0"/>
            <w:vAlign w:val="center"/>
          </w:tcPr>
          <w:p>
            <w:pPr>
              <w:snapToGrid w:val="0"/>
              <w:spacing w:line="320" w:lineRule="exact"/>
              <w:jc w:val="center"/>
              <w:rPr>
                <w:color w:val="000000"/>
                <w:sz w:val="21"/>
              </w:rPr>
            </w:pPr>
            <w:r>
              <w:rPr>
                <w:rFonts w:hint="eastAsia"/>
                <w:color w:val="FF0000"/>
                <w:sz w:val="21"/>
                <w:szCs w:val="21"/>
                <w:lang w:val="en-US" w:eastAsia="zh-CN"/>
              </w:rPr>
              <w:t>13870067537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36" w:type="dxa"/>
            <w:noWrap w:val="0"/>
            <w:vAlign w:val="center"/>
          </w:tcPr>
          <w:p>
            <w:pPr>
              <w:snapToGrid w:val="0"/>
              <w:spacing w:line="320" w:lineRule="exact"/>
              <w:jc w:val="center"/>
              <w:rPr>
                <w:color w:val="000000"/>
                <w:sz w:val="21"/>
              </w:rPr>
            </w:pPr>
            <w:r>
              <w:rPr>
                <w:color w:val="000000"/>
                <w:sz w:val="21"/>
              </w:rPr>
              <w:t>8</w:t>
            </w:r>
          </w:p>
        </w:tc>
        <w:tc>
          <w:tcPr>
            <w:tcW w:w="3457" w:type="dxa"/>
            <w:noWrap w:val="0"/>
            <w:vAlign w:val="center"/>
          </w:tcPr>
          <w:p>
            <w:pPr>
              <w:snapToGrid w:val="0"/>
              <w:spacing w:line="320" w:lineRule="exact"/>
              <w:jc w:val="center"/>
              <w:rPr>
                <w:color w:val="000000"/>
                <w:sz w:val="21"/>
              </w:rPr>
            </w:pPr>
            <w:r>
              <w:rPr>
                <w:rFonts w:hAnsi="宋体"/>
                <w:color w:val="000000"/>
                <w:sz w:val="21"/>
              </w:rPr>
              <w:t>企业规模</w:t>
            </w:r>
          </w:p>
        </w:tc>
        <w:tc>
          <w:tcPr>
            <w:tcW w:w="4329" w:type="dxa"/>
            <w:noWrap w:val="0"/>
            <w:vAlign w:val="center"/>
          </w:tcPr>
          <w:p>
            <w:pPr>
              <w:snapToGrid w:val="0"/>
              <w:spacing w:line="320" w:lineRule="exact"/>
              <w:jc w:val="center"/>
              <w:rPr>
                <w:color w:val="FF0000"/>
                <w:sz w:val="21"/>
              </w:rPr>
            </w:pPr>
            <w:r>
              <w:rPr>
                <w:rFonts w:hint="eastAsia"/>
                <w:color w:val="FF0000"/>
                <w:sz w:val="21"/>
              </w:rPr>
              <w:t>中小型企业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36" w:type="dxa"/>
            <w:noWrap w:val="0"/>
            <w:vAlign w:val="center"/>
          </w:tcPr>
          <w:p>
            <w:pPr>
              <w:snapToGrid w:val="0"/>
              <w:spacing w:line="320" w:lineRule="exact"/>
              <w:jc w:val="center"/>
              <w:rPr>
                <w:rFonts w:hint="eastAsia" w:eastAsia="宋体"/>
                <w:color w:val="000000"/>
                <w:sz w:val="21"/>
                <w:lang w:val="en-US" w:eastAsia="zh-CN"/>
              </w:rPr>
            </w:pPr>
            <w:r>
              <w:rPr>
                <w:rFonts w:hint="eastAsia"/>
                <w:color w:val="000000"/>
                <w:sz w:val="21"/>
                <w:lang w:val="en-US" w:eastAsia="zh-CN"/>
              </w:rPr>
              <w:t>9</w:t>
            </w:r>
          </w:p>
        </w:tc>
        <w:tc>
          <w:tcPr>
            <w:tcW w:w="3457" w:type="dxa"/>
            <w:noWrap w:val="0"/>
            <w:vAlign w:val="center"/>
          </w:tcPr>
          <w:p>
            <w:pPr>
              <w:snapToGrid w:val="0"/>
              <w:spacing w:line="320" w:lineRule="exact"/>
              <w:jc w:val="center"/>
              <w:rPr>
                <w:color w:val="000000"/>
                <w:sz w:val="21"/>
              </w:rPr>
            </w:pPr>
            <w:r>
              <w:rPr>
                <w:rFonts w:hAnsi="宋体"/>
                <w:color w:val="000000"/>
                <w:sz w:val="21"/>
              </w:rPr>
              <w:t>从业人数</w:t>
            </w:r>
          </w:p>
        </w:tc>
        <w:tc>
          <w:tcPr>
            <w:tcW w:w="4329" w:type="dxa"/>
            <w:noWrap w:val="0"/>
            <w:vAlign w:val="center"/>
          </w:tcPr>
          <w:p>
            <w:pPr>
              <w:snapToGrid w:val="0"/>
              <w:spacing w:line="320" w:lineRule="exact"/>
              <w:jc w:val="center"/>
              <w:rPr>
                <w:color w:val="FF0000"/>
                <w:sz w:val="21"/>
                <w:highlight w:val="yellow"/>
              </w:rPr>
            </w:pPr>
            <w:r>
              <w:rPr>
                <w:rFonts w:hint="eastAsia"/>
                <w:color w:val="FF0000"/>
                <w:sz w:val="21"/>
                <w:lang w:val="en-US" w:eastAsia="zh-CN"/>
              </w:rPr>
              <w:t>12</w:t>
            </w:r>
            <w:r>
              <w:rPr>
                <w:rFonts w:hint="eastAsia"/>
                <w:color w:val="FF0000"/>
                <w:sz w:val="21"/>
              </w:rPr>
              <w:t>人</w:t>
            </w:r>
          </w:p>
        </w:tc>
      </w:tr>
    </w:tbl>
    <w:p>
      <w:pPr>
        <w:spacing w:before="60" w:after="60" w:line="500" w:lineRule="exact"/>
        <w:outlineLvl w:val="1"/>
        <w:rPr>
          <w:rFonts w:eastAsia="黑体"/>
          <w:b/>
          <w:snapToGrid w:val="0"/>
          <w:spacing w:val="4"/>
          <w:kern w:val="0"/>
          <w:sz w:val="28"/>
          <w:szCs w:val="30"/>
        </w:rPr>
      </w:pPr>
      <w:r>
        <w:rPr>
          <w:rFonts w:hint="eastAsia" w:eastAsia="黑体"/>
          <w:b/>
          <w:snapToGrid w:val="0"/>
          <w:spacing w:val="4"/>
          <w:kern w:val="0"/>
          <w:sz w:val="28"/>
          <w:szCs w:val="30"/>
        </w:rPr>
        <w:t>2.2 生产工艺及排污节点</w:t>
      </w:r>
      <w:bookmarkEnd w:id="43"/>
      <w:bookmarkEnd w:id="44"/>
      <w:bookmarkEnd w:id="45"/>
    </w:p>
    <w:p>
      <w:pPr>
        <w:spacing w:line="480" w:lineRule="exact"/>
        <w:rPr>
          <w:sz w:val="24"/>
        </w:rPr>
      </w:pPr>
      <w:bookmarkStart w:id="47" w:name="_Toc10105658"/>
      <w:r>
        <w:rPr>
          <w:rFonts w:hint="eastAsia"/>
          <w:sz w:val="24"/>
        </w:rPr>
        <w:t>2.2.1加油工艺流程：</w:t>
      </w:r>
    </w:p>
    <w:p>
      <w:pPr>
        <w:spacing w:line="480" w:lineRule="exact"/>
        <w:ind w:firstLine="480" w:firstLineChars="200"/>
        <w:rPr>
          <w:sz w:val="24"/>
        </w:rPr>
      </w:pPr>
      <w:r>
        <w:rPr>
          <w:sz w:val="24"/>
        </w:rPr>
        <w:t>（1）油品运输：油品均采用中国石油天然气股份有限公司油罐车运送至本项目加油站。</w:t>
      </w:r>
    </w:p>
    <w:p>
      <w:pPr>
        <w:spacing w:line="480" w:lineRule="exact"/>
        <w:ind w:firstLine="480" w:firstLineChars="200"/>
        <w:rPr>
          <w:sz w:val="24"/>
        </w:rPr>
      </w:pPr>
      <w:r>
        <w:rPr>
          <w:sz w:val="24"/>
        </w:rPr>
        <w:t>（2）卸油：该站采用油罐车经连通软管与油罐卸油孔连通卸油的方式卸油。装满汽油的油槽车到达加油站罐区后，在油罐附近停稳熄火，先接好静电接地装置，待油罐车熄火并静止15min后，将连通软管与油罐车的卸油口、储罐的进油口利用密闭快速接头连接好，经计量后准备接卸，卸油前，核对罐车与油罐中油品的品名、牌号是否一致，各项准备工作检查无误后，开始自流卸油。油品卸完后，拆卸油管与油罐车连接端头，并将卸油管抬高使管内油料流入油罐内并防止溅出，盖严罐口处的卸油帽，拆除静电接地装置，卸油完毕罐车静止5min后，发动油品罐车缓慢离开罐区。</w:t>
      </w:r>
    </w:p>
    <w:p>
      <w:pPr>
        <w:spacing w:line="480" w:lineRule="exact"/>
        <w:ind w:firstLine="480" w:firstLineChars="200"/>
        <w:rPr>
          <w:sz w:val="24"/>
        </w:rPr>
      </w:pPr>
      <w:r>
        <w:rPr>
          <w:sz w:val="24"/>
        </w:rPr>
        <w:t>汽油罐卸油油气回收：汽油油罐车卸下一定数量的油品，就需吸入大致相等的气体补充到槽车内部，而加油站内的埋地油罐也因注入油品而向外排出相当数量的油气。通过安装一根气相管线，将油槽车与汽油储罐连通，卸车过程中，油槽车内部的汽油通过卸车管线进入储罐，储罐的油气经过气相管线输回油罐车内，完成密闭式卸油过程。回收到油罐车内的油气，可由油罐车带回油库后，再经油库安装的油气回收设施回收处理。</w:t>
      </w:r>
    </w:p>
    <w:p>
      <w:pPr>
        <w:spacing w:line="480" w:lineRule="exact"/>
        <w:ind w:firstLine="480" w:firstLineChars="200"/>
        <w:rPr>
          <w:rFonts w:hAnsi="宋体"/>
          <w:sz w:val="24"/>
        </w:rPr>
      </w:pPr>
      <w:r>
        <w:rPr>
          <w:rFonts w:hAnsi="宋体"/>
          <w:sz w:val="24"/>
        </w:rPr>
        <w:t>卸油工艺流程图如下：</w:t>
      </w:r>
    </w:p>
    <w:p>
      <w:pPr>
        <w:spacing w:line="360" w:lineRule="auto"/>
        <w:ind w:firstLine="420" w:firstLineChars="200"/>
        <w:jc w:val="center"/>
      </w:pPr>
      <w:r>
        <w:object>
          <v:shape id="_x0000_i1025" o:spt="75" type="#_x0000_t75" style="height:91.55pt;width:304.55pt;" o:ole="t" filled="f" o:preferrelative="t" stroked="f" coordsize="21600,21600">
            <v:path/>
            <v:fill on="f" focussize="0,0"/>
            <v:stroke on="f" joinstyle="miter"/>
            <v:imagedata r:id="rId15" o:title=""/>
            <o:lock v:ext="edit" aspectratio="f"/>
            <w10:wrap type="none"/>
            <w10:anchorlock/>
          </v:shape>
          <o:OLEObject Type="Embed" ProgID="Visio.Drawing.11" ShapeID="_x0000_i1025" DrawAspect="Content" ObjectID="_1468075725" r:id="rId14">
            <o:LockedField>false</o:LockedField>
          </o:OLEObject>
        </w:object>
      </w:r>
    </w:p>
    <w:p>
      <w:pPr>
        <w:spacing w:line="360" w:lineRule="auto"/>
        <w:ind w:firstLine="422" w:firstLineChars="200"/>
        <w:jc w:val="center"/>
      </w:pPr>
      <w:r>
        <w:rPr>
          <w:rFonts w:hint="eastAsia"/>
          <w:b/>
        </w:rPr>
        <w:t>图2</w:t>
      </w:r>
      <w:r>
        <w:rPr>
          <w:b/>
        </w:rPr>
        <w:t>.</w:t>
      </w:r>
      <w:r>
        <w:rPr>
          <w:rFonts w:hint="eastAsia"/>
          <w:b/>
        </w:rPr>
        <w:t>2</w:t>
      </w:r>
      <w:r>
        <w:rPr>
          <w:b/>
        </w:rPr>
        <w:t>-1</w:t>
      </w:r>
      <w:r>
        <w:rPr>
          <w:rFonts w:hint="eastAsia"/>
          <w:b/>
        </w:rPr>
        <w:t>卸油</w:t>
      </w:r>
      <w:r>
        <w:rPr>
          <w:b/>
        </w:rPr>
        <w:t>工艺流程图</w:t>
      </w:r>
    </w:p>
    <w:p>
      <w:pPr>
        <w:widowControl/>
        <w:numPr>
          <w:ilvl w:val="0"/>
          <w:numId w:val="1"/>
        </w:numPr>
        <w:spacing w:line="500" w:lineRule="exact"/>
        <w:ind w:firstLine="480" w:firstLineChars="200"/>
        <w:rPr>
          <w:sz w:val="24"/>
        </w:rPr>
      </w:pPr>
      <w:r>
        <w:rPr>
          <w:sz w:val="24"/>
        </w:rPr>
        <w:t>存储：本项目设置</w:t>
      </w:r>
      <w:r>
        <w:rPr>
          <w:rFonts w:hint="eastAsia"/>
          <w:sz w:val="24"/>
          <w:lang w:val="en-US" w:eastAsia="zh-CN"/>
        </w:rPr>
        <w:t>4</w:t>
      </w:r>
      <w:r>
        <w:rPr>
          <w:sz w:val="24"/>
        </w:rPr>
        <w:t>座埋地</w:t>
      </w:r>
      <w:r>
        <w:rPr>
          <w:rFonts w:hint="eastAsia"/>
          <w:sz w:val="24"/>
          <w:lang w:eastAsia="zh-CN"/>
        </w:rPr>
        <w:t>汽油</w:t>
      </w:r>
      <w:r>
        <w:rPr>
          <w:sz w:val="24"/>
        </w:rPr>
        <w:t>罐。每具油罐均设有液位仪，用于预防溢油事故，有效保障加油站安全。本项目</w:t>
      </w:r>
      <w:r>
        <w:rPr>
          <w:rFonts w:hint="eastAsia"/>
          <w:sz w:val="24"/>
          <w:lang w:val="en-US" w:eastAsia="zh-CN"/>
        </w:rPr>
        <w:t>4</w:t>
      </w:r>
      <w:r>
        <w:rPr>
          <w:sz w:val="24"/>
        </w:rPr>
        <w:t>座油罐全部埋设在油罐池内。</w:t>
      </w:r>
    </w:p>
    <w:p>
      <w:pPr>
        <w:widowControl/>
        <w:numPr>
          <w:ilvl w:val="0"/>
          <w:numId w:val="1"/>
        </w:numPr>
        <w:spacing w:line="500" w:lineRule="exact"/>
        <w:ind w:firstLine="480" w:firstLineChars="200"/>
        <w:rPr>
          <w:sz w:val="24"/>
        </w:rPr>
      </w:pPr>
      <w:r>
        <w:rPr>
          <w:sz w:val="24"/>
        </w:rPr>
        <w:t>加油：采用自吸式加油工艺（采用真空辅助分散式汽油加油油气回收），</w:t>
      </w:r>
    </w:p>
    <w:p>
      <w:pPr>
        <w:widowControl/>
        <w:spacing w:line="500" w:lineRule="exact"/>
        <w:rPr>
          <w:sz w:val="24"/>
        </w:rPr>
      </w:pPr>
      <w:r>
        <w:rPr>
          <w:sz w:val="24"/>
        </w:rPr>
        <w:t>通过加油机内的油泵把油品从储油罐（双层储罐）抽出，经过底阀、加油管线（采用双层复合管道）、油气分离器、计量器，再经自封式加油枪加到受油容器。汽油加油油气回收是利用加油枪上油气回收装置（加油机内设真空泵），将汽车油箱中的油气，经加油枪、真空泵回收入油罐内。</w:t>
      </w:r>
    </w:p>
    <w:p>
      <w:pPr>
        <w:widowControl/>
        <w:spacing w:line="500" w:lineRule="exact"/>
        <w:ind w:firstLine="480" w:firstLineChars="200"/>
        <w:rPr>
          <w:sz w:val="24"/>
        </w:rPr>
      </w:pPr>
      <w:r>
        <w:rPr>
          <w:rFonts w:hint="eastAsia"/>
          <w:sz w:val="24"/>
        </w:rPr>
        <w:t>汽油加油工艺流程图如下：</w:t>
      </w:r>
    </w:p>
    <w:p>
      <w:pPr>
        <w:widowControl/>
        <w:spacing w:line="360" w:lineRule="auto"/>
        <w:jc w:val="center"/>
        <w:rPr>
          <w:rFonts w:hAnsi="宋体"/>
          <w:sz w:val="24"/>
        </w:rPr>
      </w:pPr>
      <w:r>
        <w:rPr>
          <w:rFonts w:hAnsi="宋体"/>
          <w:sz w:val="24"/>
        </w:rPr>
        <w:object>
          <v:shape id="_x0000_i1026" o:spt="75" type="#_x0000_t75" style="height:61.5pt;width:280.45pt;" o:ole="t" filled="f" o:preferrelative="t" stroked="f" coordsize="21600,21600">
            <v:path/>
            <v:fill on="f" focussize="0,0"/>
            <v:stroke on="f" joinstyle="miter"/>
            <v:imagedata r:id="rId17" o:title=""/>
            <o:lock v:ext="edit" aspectratio="f"/>
            <w10:wrap type="none"/>
            <w10:anchorlock/>
          </v:shape>
          <o:OLEObject Type="Embed" ProgID="Visio.Drawing.11" ShapeID="_x0000_i1026" DrawAspect="Content" ObjectID="_1468075726" r:id="rId16">
            <o:LockedField>false</o:LockedField>
          </o:OLEObject>
        </w:object>
      </w:r>
    </w:p>
    <w:p>
      <w:pPr>
        <w:widowControl/>
        <w:spacing w:line="360" w:lineRule="auto"/>
        <w:ind w:firstLine="422" w:firstLineChars="200"/>
        <w:jc w:val="center"/>
        <w:rPr>
          <w:b/>
        </w:rPr>
      </w:pPr>
      <w:bookmarkStart w:id="48" w:name="page51"/>
      <w:bookmarkEnd w:id="48"/>
      <w:r>
        <w:rPr>
          <w:rFonts w:hint="eastAsia"/>
          <w:b/>
        </w:rPr>
        <w:t>图</w:t>
      </w:r>
      <w:r>
        <w:rPr>
          <w:b/>
        </w:rPr>
        <w:t>3.</w:t>
      </w:r>
      <w:r>
        <w:rPr>
          <w:rFonts w:hint="eastAsia"/>
          <w:b/>
        </w:rPr>
        <w:t>4</w:t>
      </w:r>
      <w:r>
        <w:rPr>
          <w:b/>
        </w:rPr>
        <w:t>-</w:t>
      </w:r>
      <w:r>
        <w:rPr>
          <w:rFonts w:hint="eastAsia"/>
          <w:b/>
        </w:rPr>
        <w:t>2加油</w:t>
      </w:r>
      <w:r>
        <w:rPr>
          <w:b/>
        </w:rPr>
        <w:t>工艺流程图</w:t>
      </w:r>
    </w:p>
    <w:p>
      <w:pPr>
        <w:spacing w:before="60" w:after="60" w:line="480" w:lineRule="exact"/>
        <w:outlineLvl w:val="1"/>
        <w:rPr>
          <w:rFonts w:eastAsia="黑体"/>
          <w:b/>
          <w:snapToGrid w:val="0"/>
          <w:spacing w:val="4"/>
          <w:kern w:val="0"/>
          <w:sz w:val="28"/>
          <w:szCs w:val="30"/>
        </w:rPr>
      </w:pPr>
      <w:r>
        <w:rPr>
          <w:rFonts w:eastAsia="黑体"/>
          <w:b/>
          <w:snapToGrid w:val="0"/>
          <w:spacing w:val="4"/>
          <w:kern w:val="0"/>
          <w:sz w:val="28"/>
          <w:szCs w:val="30"/>
        </w:rPr>
        <w:t>2.3 地理位置及气候情况</w:t>
      </w:r>
      <w:bookmarkEnd w:id="46"/>
      <w:bookmarkEnd w:id="47"/>
    </w:p>
    <w:p>
      <w:pPr>
        <w:spacing w:line="480" w:lineRule="exact"/>
        <w:outlineLvl w:val="2"/>
        <w:rPr>
          <w:rFonts w:eastAsia="黑体"/>
          <w:b/>
          <w:snapToGrid w:val="0"/>
          <w:spacing w:val="4"/>
          <w:kern w:val="0"/>
          <w:sz w:val="24"/>
          <w:szCs w:val="28"/>
        </w:rPr>
      </w:pPr>
      <w:bookmarkStart w:id="49" w:name="_Toc10105659"/>
      <w:bookmarkStart w:id="50" w:name="_Toc524953570"/>
      <w:bookmarkStart w:id="51" w:name="_Toc524953671"/>
      <w:bookmarkStart w:id="52" w:name="_Toc508610798"/>
      <w:bookmarkStart w:id="53" w:name="_Toc484163980"/>
      <w:r>
        <w:rPr>
          <w:rFonts w:hint="eastAsia" w:eastAsia="黑体"/>
          <w:b/>
          <w:snapToGrid w:val="0"/>
          <w:spacing w:val="4"/>
          <w:kern w:val="0"/>
          <w:sz w:val="24"/>
          <w:szCs w:val="28"/>
        </w:rPr>
        <w:t>2.3</w:t>
      </w:r>
      <w:r>
        <w:rPr>
          <w:rFonts w:eastAsia="黑体"/>
          <w:b/>
          <w:snapToGrid w:val="0"/>
          <w:spacing w:val="4"/>
          <w:kern w:val="0"/>
          <w:sz w:val="24"/>
          <w:szCs w:val="28"/>
        </w:rPr>
        <w:t>.1地理位置</w:t>
      </w:r>
      <w:bookmarkEnd w:id="49"/>
      <w:bookmarkEnd w:id="50"/>
      <w:bookmarkEnd w:id="51"/>
    </w:p>
    <w:p>
      <w:pPr>
        <w:spacing w:line="460" w:lineRule="exact"/>
        <w:ind w:firstLine="480" w:firstLineChars="200"/>
        <w:rPr>
          <w:color w:val="000000" w:themeColor="text1"/>
          <w:sz w:val="24"/>
          <w14:textFill>
            <w14:solidFill>
              <w14:schemeClr w14:val="tx1"/>
            </w14:solidFill>
          </w14:textFill>
        </w:rPr>
      </w:pPr>
      <w:bookmarkStart w:id="54" w:name="_Toc524953571"/>
      <w:bookmarkStart w:id="55" w:name="_Toc10105660"/>
      <w:bookmarkStart w:id="56" w:name="_Toc524953672"/>
      <w:r>
        <w:rPr>
          <w:rFonts w:hint="eastAsia"/>
          <w:color w:val="000000" w:themeColor="text1"/>
          <w:sz w:val="24"/>
          <w14:textFill>
            <w14:solidFill>
              <w14:schemeClr w14:val="tx1"/>
            </w14:solidFill>
          </w14:textFill>
        </w:rPr>
        <w:t>南昌市地处江西中部偏北，</w:t>
      </w:r>
      <w:r>
        <w:fldChar w:fldCharType="begin"/>
      </w:r>
      <w:r>
        <w:instrText xml:space="preserve"> HYPERLINK "http://baike.baidu.com/view/66718.htm" \t "_blank" </w:instrText>
      </w:r>
      <w:r>
        <w:fldChar w:fldCharType="separate"/>
      </w:r>
      <w:r>
        <w:rPr>
          <w:rFonts w:hint="eastAsia"/>
          <w:color w:val="000000" w:themeColor="text1"/>
          <w:sz w:val="24"/>
          <w14:textFill>
            <w14:solidFill>
              <w14:schemeClr w14:val="tx1"/>
            </w14:solidFill>
          </w14:textFill>
        </w:rPr>
        <w:t>赣江</w:t>
      </w:r>
      <w:r>
        <w:rPr>
          <w:rFonts w:hint="eastAsia"/>
          <w:color w:val="000000" w:themeColor="text1"/>
          <w:sz w:val="24"/>
          <w14:textFill>
            <w14:solidFill>
              <w14:schemeClr w14:val="tx1"/>
            </w14:solidFill>
          </w14:textFill>
        </w:rPr>
        <w:fldChar w:fldCharType="end"/>
      </w:r>
      <w:r>
        <w:rPr>
          <w:rFonts w:hint="eastAsia"/>
          <w:color w:val="000000" w:themeColor="text1"/>
          <w:sz w:val="24"/>
          <w14:textFill>
            <w14:solidFill>
              <w14:schemeClr w14:val="tx1"/>
            </w14:solidFill>
          </w14:textFill>
        </w:rPr>
        <w:t>、抚河下游，三环，濒临我国第一大淡水湖</w:t>
      </w:r>
      <w:r>
        <w:fldChar w:fldCharType="begin"/>
      </w:r>
      <w:r>
        <w:instrText xml:space="preserve"> HYPERLINK "http://baike.baidu.com/view/4173.htm" \t "_blank" </w:instrText>
      </w:r>
      <w:r>
        <w:fldChar w:fldCharType="separate"/>
      </w:r>
      <w:r>
        <w:rPr>
          <w:rFonts w:hint="eastAsia"/>
          <w:color w:val="000000" w:themeColor="text1"/>
          <w:sz w:val="24"/>
          <w14:textFill>
            <w14:solidFill>
              <w14:schemeClr w14:val="tx1"/>
            </w14:solidFill>
          </w14:textFill>
        </w:rPr>
        <w:t>鄱阳湖</w:t>
      </w:r>
      <w:r>
        <w:rPr>
          <w:rFonts w:hint="eastAsia"/>
          <w:color w:val="000000" w:themeColor="text1"/>
          <w:sz w:val="24"/>
          <w14:textFill>
            <w14:solidFill>
              <w14:schemeClr w14:val="tx1"/>
            </w14:solidFill>
          </w14:textFill>
        </w:rPr>
        <w:fldChar w:fldCharType="end"/>
      </w:r>
      <w:r>
        <w:rPr>
          <w:rFonts w:hint="eastAsia"/>
          <w:color w:val="000000" w:themeColor="text1"/>
          <w:sz w:val="24"/>
          <w14:textFill>
            <w14:solidFill>
              <w14:schemeClr w14:val="tx1"/>
            </w14:solidFill>
          </w14:textFill>
        </w:rPr>
        <w:t>西南岸。位于东经115°27'至116°35'、北纬28°10'至 29°11'之间。东连余干、东乡、南接临川、丰城、西靠高安、奉新、靖安，北与永修、都昌、鄱阳三县共鄱阳湖，南北最大纵距约121公里，东西最大横距约108公里，总面积约7402平方公里。</w:t>
      </w:r>
    </w:p>
    <w:p>
      <w:pPr>
        <w:spacing w:line="460" w:lineRule="exact"/>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项目位于南昌市</w:t>
      </w:r>
      <w:r>
        <w:rPr>
          <w:rFonts w:hint="eastAsia" w:ascii="宋体" w:hAnsi="宋体" w:cs="宋体"/>
          <w:color w:val="FF0000"/>
          <w:sz w:val="24"/>
          <w:szCs w:val="24"/>
          <w:lang w:val="en-US" w:eastAsia="zh-CN"/>
        </w:rPr>
        <w:t>昌北开发区</w:t>
      </w:r>
      <w:r>
        <w:rPr>
          <w:rFonts w:hint="eastAsia"/>
          <w:color w:val="000000" w:themeColor="text1"/>
          <w:sz w:val="24"/>
          <w14:textFill>
            <w14:solidFill>
              <w14:schemeClr w14:val="tx1"/>
            </w14:solidFill>
          </w14:textFill>
        </w:rPr>
        <w:t>。</w:t>
      </w:r>
    </w:p>
    <w:p>
      <w:pPr>
        <w:spacing w:line="480" w:lineRule="exact"/>
        <w:outlineLvl w:val="2"/>
        <w:rPr>
          <w:rFonts w:eastAsia="黑体"/>
          <w:b/>
          <w:snapToGrid w:val="0"/>
          <w:spacing w:val="4"/>
          <w:kern w:val="0"/>
          <w:sz w:val="24"/>
          <w:szCs w:val="28"/>
        </w:rPr>
      </w:pPr>
      <w:r>
        <w:rPr>
          <w:rFonts w:hint="eastAsia" w:eastAsia="黑体"/>
          <w:b/>
          <w:snapToGrid w:val="0"/>
          <w:spacing w:val="4"/>
          <w:kern w:val="0"/>
          <w:sz w:val="24"/>
          <w:szCs w:val="28"/>
        </w:rPr>
        <w:t>2.3</w:t>
      </w:r>
      <w:r>
        <w:rPr>
          <w:rFonts w:eastAsia="黑体"/>
          <w:b/>
          <w:snapToGrid w:val="0"/>
          <w:spacing w:val="4"/>
          <w:kern w:val="0"/>
          <w:sz w:val="24"/>
          <w:szCs w:val="28"/>
        </w:rPr>
        <w:t>.2 地形、地貌</w:t>
      </w:r>
      <w:bookmarkEnd w:id="54"/>
      <w:bookmarkEnd w:id="55"/>
      <w:bookmarkEnd w:id="56"/>
    </w:p>
    <w:p>
      <w:pPr>
        <w:spacing w:line="460" w:lineRule="exact"/>
        <w:ind w:firstLine="480"/>
        <w:rPr>
          <w:color w:val="000000" w:themeColor="text1"/>
          <w:sz w:val="24"/>
          <w14:textFill>
            <w14:solidFill>
              <w14:schemeClr w14:val="tx1"/>
            </w14:solidFill>
          </w14:textFill>
        </w:rPr>
      </w:pPr>
      <w:bookmarkStart w:id="57" w:name="_Toc524953572"/>
      <w:bookmarkStart w:id="58" w:name="_Toc524953673"/>
      <w:bookmarkStart w:id="59" w:name="_Toc10105661"/>
      <w:r>
        <w:rPr>
          <w:rFonts w:hint="eastAsia"/>
          <w:color w:val="000000" w:themeColor="text1"/>
          <w:sz w:val="24"/>
          <w14:textFill>
            <w14:solidFill>
              <w14:schemeClr w14:val="tx1"/>
            </w14:solidFill>
          </w14:textFill>
        </w:rPr>
        <w:t>南昌市位于江南台隆构造单元的丰城——乐平凹陷之中，构造上主要受赣江大断裂的影响，区内河谷阶地属内迭或上送类型。根据钻孔分析，未揭露明显的断裂构造。</w:t>
      </w:r>
    </w:p>
    <w:p>
      <w:pPr>
        <w:spacing w:line="460" w:lineRule="exact"/>
        <w:ind w:firstLine="48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区内第四系地层分布最广，岩性以洪积红土、砾石层及粗沙、砥石层为主，多分布于赣、抚、锦河两侧和滨湖地带。前震旦系地层断续分布于石岗、西山至樵舍。西部的欧阳村至华源一带，则有雪峰期喜山期岩浆岩出露。在白虎岭、柏岗等小褶皱发育地区，老土层隆起第三系、白垩系、三叠系、二叠系、石炭系、泥盆系等地层均有另星分布出露，岩性以炭岩、砂岩为代表。以上土层给全市地貌以深刻影响，形成西部山地逶迤，中部丘岗起伏，东部赣江、抚河下游平原绵延。区内第四纪发育，下伏基岩为第三纪红岩系。第四纪厚度约15-37m，基岩顶面自赣江上游向下游倾斜，第四系岩性变化复杂，总的规律是颗粒分布上细下粗，分属于粘性土和砂类土两大类。</w:t>
      </w:r>
    </w:p>
    <w:p>
      <w:pPr>
        <w:spacing w:line="480" w:lineRule="exact"/>
        <w:outlineLvl w:val="2"/>
        <w:rPr>
          <w:rFonts w:eastAsia="黑体"/>
          <w:b/>
          <w:snapToGrid w:val="0"/>
          <w:spacing w:val="4"/>
          <w:kern w:val="0"/>
          <w:sz w:val="24"/>
          <w:szCs w:val="28"/>
        </w:rPr>
      </w:pPr>
      <w:r>
        <w:rPr>
          <w:rFonts w:hint="eastAsia" w:eastAsia="黑体"/>
          <w:b/>
          <w:snapToGrid w:val="0"/>
          <w:spacing w:val="4"/>
          <w:kern w:val="0"/>
          <w:sz w:val="24"/>
          <w:szCs w:val="28"/>
        </w:rPr>
        <w:t>2.3</w:t>
      </w:r>
      <w:r>
        <w:rPr>
          <w:rFonts w:eastAsia="黑体"/>
          <w:b/>
          <w:snapToGrid w:val="0"/>
          <w:spacing w:val="4"/>
          <w:kern w:val="0"/>
          <w:sz w:val="24"/>
          <w:szCs w:val="28"/>
        </w:rPr>
        <w:t>.3 气候气象</w:t>
      </w:r>
      <w:bookmarkEnd w:id="57"/>
      <w:bookmarkEnd w:id="58"/>
      <w:bookmarkEnd w:id="59"/>
    </w:p>
    <w:p>
      <w:pPr>
        <w:spacing w:line="480" w:lineRule="exact"/>
        <w:ind w:firstLine="480" w:firstLineChars="200"/>
        <w:rPr>
          <w:color w:val="000000" w:themeColor="text1"/>
          <w:sz w:val="24"/>
          <w14:textFill>
            <w14:solidFill>
              <w14:schemeClr w14:val="tx1"/>
            </w14:solidFill>
          </w14:textFill>
        </w:rPr>
      </w:pPr>
      <w:bookmarkStart w:id="60" w:name="_Toc524953674"/>
      <w:bookmarkStart w:id="61" w:name="_Toc524953573"/>
      <w:r>
        <w:rPr>
          <w:rFonts w:hint="eastAsia"/>
          <w:color w:val="000000" w:themeColor="text1"/>
          <w:sz w:val="24"/>
          <w14:textFill>
            <w14:solidFill>
              <w14:schemeClr w14:val="tx1"/>
            </w14:solidFill>
          </w14:textFill>
        </w:rPr>
        <w:t>南昌市气侯湿润温和，属亚热带季风区，雨量充沛，四季分明，春秋短，夏季长。根据南昌市气象站近二十年气象统计结果显示，年平均气温18.2℃，极端最高气温40.6℃，极端最低气温-9.7℃。年平均降水量为1613.9mm，降水日为144天，年暴雨日58天，年平均相对湿度为78%。年日照时间1850.5小时，日照率为42%。年平均风速2.0m/s，年最大风向为东北偏北风，夏季盛行西南风，冬季主导风向是北风或东北风。年无霜期291天。</w:t>
      </w:r>
    </w:p>
    <w:p>
      <w:pPr>
        <w:spacing w:line="480" w:lineRule="exact"/>
        <w:outlineLvl w:val="2"/>
        <w:rPr>
          <w:rFonts w:eastAsia="黑体"/>
          <w:b/>
          <w:snapToGrid w:val="0"/>
          <w:spacing w:val="4"/>
          <w:kern w:val="0"/>
          <w:sz w:val="24"/>
          <w:szCs w:val="28"/>
        </w:rPr>
      </w:pPr>
      <w:bookmarkStart w:id="62" w:name="_Toc10105662"/>
      <w:r>
        <w:rPr>
          <w:rFonts w:hint="eastAsia" w:eastAsia="黑体"/>
          <w:b/>
          <w:snapToGrid w:val="0"/>
          <w:spacing w:val="4"/>
          <w:kern w:val="0"/>
          <w:sz w:val="24"/>
          <w:szCs w:val="28"/>
        </w:rPr>
        <w:t>2.3</w:t>
      </w:r>
      <w:r>
        <w:rPr>
          <w:rFonts w:eastAsia="黑体"/>
          <w:b/>
          <w:snapToGrid w:val="0"/>
          <w:spacing w:val="4"/>
          <w:kern w:val="0"/>
          <w:sz w:val="24"/>
          <w:szCs w:val="28"/>
        </w:rPr>
        <w:t>.</w:t>
      </w:r>
      <w:r>
        <w:rPr>
          <w:rFonts w:hint="eastAsia" w:eastAsia="黑体"/>
          <w:b/>
          <w:snapToGrid w:val="0"/>
          <w:spacing w:val="4"/>
          <w:kern w:val="0"/>
          <w:sz w:val="24"/>
          <w:szCs w:val="28"/>
        </w:rPr>
        <w:t>4</w:t>
      </w:r>
      <w:r>
        <w:rPr>
          <w:rFonts w:eastAsia="黑体"/>
          <w:b/>
          <w:snapToGrid w:val="0"/>
          <w:spacing w:val="4"/>
          <w:kern w:val="0"/>
          <w:sz w:val="24"/>
          <w:szCs w:val="28"/>
        </w:rPr>
        <w:t xml:space="preserve"> 水文</w:t>
      </w:r>
      <w:bookmarkEnd w:id="60"/>
      <w:bookmarkEnd w:id="61"/>
      <w:bookmarkEnd w:id="62"/>
    </w:p>
    <w:p>
      <w:pPr>
        <w:spacing w:line="480" w:lineRule="exact"/>
        <w:ind w:firstLine="480" w:firstLineChars="200"/>
        <w:rPr>
          <w:color w:val="000000" w:themeColor="text1"/>
          <w:sz w:val="24"/>
          <w14:textFill>
            <w14:solidFill>
              <w14:schemeClr w14:val="tx1"/>
            </w14:solidFill>
          </w14:textFill>
        </w:rPr>
      </w:pPr>
      <w:bookmarkStart w:id="63" w:name="_Toc10105663"/>
      <w:r>
        <w:rPr>
          <w:rFonts w:hint="eastAsia"/>
          <w:color w:val="000000" w:themeColor="text1"/>
          <w:sz w:val="24"/>
          <w14:textFill>
            <w14:solidFill>
              <w14:schemeClr w14:val="tx1"/>
            </w14:solidFill>
          </w14:textFill>
        </w:rPr>
        <w:t>区域主要河流为赣江、抚河。赣江是鄱阳湖水系的第一大河流，发源于闽赣交界的武夷山赣南地区，干流全长439km，由南向北纵贯江西全省，在市汊进入南昌后流经市区约78km，最终注入鄱阳湖；抚河是江西省第三大河流，发源于武夷山（广昌县境内），全长276km，流经进贤、南昌二县，并由青岚湖注入鄱阳湖；抚河故道在南昌城区西部经潮阳洲、新洲闸闸口注入鄱阳湖，长约5km。</w:t>
      </w:r>
    </w:p>
    <w:p>
      <w:pPr>
        <w:spacing w:line="480" w:lineRule="exact"/>
        <w:ind w:firstLine="480" w:firstLineChars="200"/>
        <w:rPr>
          <w:rFonts w:ascii="仿宋_GB2312" w:hAnsi="Arial" w:eastAsia="仿宋_GB2312" w:cs="Arial"/>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南昌市湖泊众多、军山湖、青岚湖、金溪湖、瑶湖、青山湖、艾溪湖、象湖、梅湖、前湖、碟子湖、黄家湖等星罗棋布，由城内东、南、西、北四湖点缀其间的数百个大水湖泊，形成水天一色，河湖环绕的自然景观。全市年均产水量为66.25亿立方米，地表水资源为61.53亿立方米，地表径流量为51.42亿立方米，还原水量为4.07亿立方米，地下水资源为14.97亿立方米。水资源蕴藏量为7.27万千瓦，可供开发的资源为3.45万千瓦，占蕴藏量的33.7%。</w:t>
      </w:r>
    </w:p>
    <w:p>
      <w:pPr>
        <w:spacing w:line="480" w:lineRule="exact"/>
        <w:outlineLvl w:val="2"/>
        <w:rPr>
          <w:rFonts w:eastAsia="黑体"/>
          <w:b/>
          <w:snapToGrid w:val="0"/>
          <w:spacing w:val="4"/>
          <w:kern w:val="0"/>
          <w:sz w:val="24"/>
          <w:szCs w:val="28"/>
        </w:rPr>
      </w:pPr>
      <w:r>
        <w:rPr>
          <w:rFonts w:hint="eastAsia" w:eastAsia="黑体"/>
          <w:b/>
          <w:snapToGrid w:val="0"/>
          <w:spacing w:val="4"/>
          <w:kern w:val="0"/>
          <w:sz w:val="24"/>
          <w:szCs w:val="28"/>
        </w:rPr>
        <w:t>2.3</w:t>
      </w:r>
      <w:r>
        <w:rPr>
          <w:rFonts w:eastAsia="黑体"/>
          <w:b/>
          <w:snapToGrid w:val="0"/>
          <w:spacing w:val="4"/>
          <w:kern w:val="0"/>
          <w:sz w:val="24"/>
          <w:szCs w:val="28"/>
        </w:rPr>
        <w:t>.</w:t>
      </w:r>
      <w:r>
        <w:rPr>
          <w:rFonts w:hint="eastAsia" w:eastAsia="黑体"/>
          <w:b/>
          <w:snapToGrid w:val="0"/>
          <w:spacing w:val="4"/>
          <w:kern w:val="0"/>
          <w:sz w:val="24"/>
          <w:szCs w:val="28"/>
        </w:rPr>
        <w:t>5地下水及水文地质条件</w:t>
      </w:r>
    </w:p>
    <w:bookmarkEnd w:id="63"/>
    <w:p>
      <w:pPr>
        <w:spacing w:line="480" w:lineRule="exact"/>
        <w:ind w:firstLine="480" w:firstLineChars="200"/>
        <w:rPr>
          <w:color w:val="000000" w:themeColor="text1"/>
          <w:sz w:val="24"/>
          <w14:textFill>
            <w14:solidFill>
              <w14:schemeClr w14:val="tx1"/>
            </w14:solidFill>
          </w14:textFill>
        </w:rPr>
      </w:pPr>
      <w:bookmarkStart w:id="64" w:name="_Toc10105664"/>
      <w:r>
        <w:rPr>
          <w:rFonts w:hint="eastAsia"/>
          <w:color w:val="000000" w:themeColor="text1"/>
          <w:sz w:val="24"/>
          <w14:textFill>
            <w14:solidFill>
              <w14:schemeClr w14:val="tx1"/>
            </w14:solidFill>
          </w14:textFill>
        </w:rPr>
        <w:t>南昌市区地下浅部广泛分布有第四系砂砾石孔隙地下水，水量丰富，南昌市地下含水层厚度自西向东</w:t>
      </w:r>
      <w:r>
        <w:rPr>
          <w:rFonts w:hint="eastAsia" w:ascii="宋体" w:hAnsi="宋体"/>
          <w:color w:val="000000" w:themeColor="text1"/>
          <w:sz w:val="24"/>
          <w14:textFill>
            <w14:solidFill>
              <w14:schemeClr w14:val="tx1"/>
            </w14:solidFill>
          </w14:textFill>
        </w:rPr>
        <w:t>(</w:t>
      </w:r>
      <w:r>
        <w:rPr>
          <w:rFonts w:hint="eastAsia"/>
          <w:color w:val="000000" w:themeColor="text1"/>
          <w:sz w:val="24"/>
          <w14:textFill>
            <w14:solidFill>
              <w14:schemeClr w14:val="tx1"/>
            </w14:solidFill>
          </w14:textFill>
        </w:rPr>
        <w:t>八一桥5m,南昌大学17m,太子殿一带达28m</w:t>
      </w:r>
      <w:r>
        <w:rPr>
          <w:rFonts w:hint="eastAsia" w:asciiTheme="minorEastAsia" w:hAnsiTheme="minorEastAsia" w:eastAsiaTheme="minorEastAsia"/>
          <w:color w:val="000000" w:themeColor="text1"/>
          <w:sz w:val="24"/>
          <w14:textFill>
            <w14:solidFill>
              <w14:schemeClr w14:val="tx1"/>
            </w14:solidFill>
          </w14:textFill>
        </w:rPr>
        <w:t>)</w:t>
      </w:r>
      <w:r>
        <w:rPr>
          <w:rFonts w:hint="eastAsia"/>
          <w:color w:val="000000" w:themeColor="text1"/>
          <w:sz w:val="24"/>
          <w14:textFill>
            <w14:solidFill>
              <w14:schemeClr w14:val="tx1"/>
            </w14:solidFill>
          </w14:textFill>
        </w:rPr>
        <w:t>和自南向北</w:t>
      </w:r>
      <w:r>
        <w:rPr>
          <w:rFonts w:hint="eastAsia" w:ascii="宋体" w:hAnsi="宋体"/>
          <w:color w:val="000000" w:themeColor="text1"/>
          <w:sz w:val="24"/>
          <w14:textFill>
            <w14:solidFill>
              <w14:schemeClr w14:val="tx1"/>
            </w14:solidFill>
          </w14:textFill>
        </w:rPr>
        <w:t>(</w:t>
      </w:r>
      <w:r>
        <w:rPr>
          <w:rFonts w:hint="eastAsia"/>
          <w:color w:val="000000" w:themeColor="text1"/>
          <w:sz w:val="24"/>
          <w14:textFill>
            <w14:solidFill>
              <w14:schemeClr w14:val="tx1"/>
            </w14:solidFill>
          </w14:textFill>
        </w:rPr>
        <w:t>青云谱10m,龙王庙14m，江纺20m，南新乡30m</w:t>
      </w:r>
      <w:r>
        <w:rPr>
          <w:rFonts w:hint="eastAsia" w:ascii="宋体" w:hAnsi="宋体"/>
          <w:color w:val="000000" w:themeColor="text1"/>
          <w:sz w:val="24"/>
          <w14:textFill>
            <w14:solidFill>
              <w14:schemeClr w14:val="tx1"/>
            </w14:solidFill>
          </w14:textFill>
        </w:rPr>
        <w:t>)</w:t>
      </w:r>
      <w:r>
        <w:rPr>
          <w:rFonts w:hint="eastAsia"/>
          <w:color w:val="000000" w:themeColor="text1"/>
          <w:sz w:val="24"/>
          <w14:textFill>
            <w14:solidFill>
              <w14:schemeClr w14:val="tx1"/>
            </w14:solidFill>
          </w14:textFill>
        </w:rPr>
        <w:t>逐渐增厚。赣江沿岸及以东的广大地区单井涌水量为1016～4916m</w:t>
      </w:r>
      <w:r>
        <w:rPr>
          <w:rFonts w:hint="eastAsia"/>
          <w:color w:val="000000" w:themeColor="text1"/>
          <w:sz w:val="24"/>
          <w:vertAlign w:val="superscript"/>
          <w14:textFill>
            <w14:solidFill>
              <w14:schemeClr w14:val="tx1"/>
            </w14:solidFill>
          </w14:textFill>
        </w:rPr>
        <w:t>3</w:t>
      </w:r>
      <w:r>
        <w:rPr>
          <w:rFonts w:hint="eastAsia"/>
          <w:color w:val="000000" w:themeColor="text1"/>
          <w:sz w:val="24"/>
          <w14:textFill>
            <w14:solidFill>
              <w14:schemeClr w14:val="tx1"/>
            </w14:solidFill>
          </w14:textFill>
        </w:rPr>
        <w:t>/d，渗透系数一般为53～160.9m/d,漫滩、心滩渗透系数为260～360m/d。八一桥以下的赣江北支、中支、南支河间地块为极强富水,单井涌水量5486～9776m3/d，渗透系数一般为23.4～149.0m/d。</w:t>
      </w:r>
    </w:p>
    <w:p>
      <w:pPr>
        <w:spacing w:line="480" w:lineRule="exact"/>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赣江以西的岗间谷地及残坡积层富水性弱,单井涌水量</w:t>
      </w:r>
      <w:r>
        <w:rPr>
          <w:color w:val="000000" w:themeColor="text1"/>
          <w:sz w:val="24"/>
          <w14:textFill>
            <w14:solidFill>
              <w14:schemeClr w14:val="tx1"/>
            </w14:solidFill>
          </w14:textFill>
        </w:rPr>
        <w:t>≤</w:t>
      </w:r>
      <w:r>
        <w:rPr>
          <w:rFonts w:hint="eastAsia"/>
          <w:color w:val="000000" w:themeColor="text1"/>
          <w:sz w:val="24"/>
          <w14:textFill>
            <w14:solidFill>
              <w14:schemeClr w14:val="tx1"/>
            </w14:solidFill>
          </w14:textFill>
        </w:rPr>
        <w:t>100～1000m3/d，渗透系数4～25.0m/d。赣、抚冲积平原的全新统,上更新统冲积层,地下水交替条件较好，一般为HCO</w:t>
      </w:r>
      <w:r>
        <w:rPr>
          <w:rFonts w:hint="eastAsia"/>
          <w:color w:val="000000" w:themeColor="text1"/>
          <w:sz w:val="24"/>
          <w:vertAlign w:val="subscript"/>
          <w14:textFill>
            <w14:solidFill>
              <w14:schemeClr w14:val="tx1"/>
            </w14:solidFill>
          </w14:textFill>
        </w:rPr>
        <w:t>3</w:t>
      </w:r>
      <w:r>
        <w:rPr>
          <w:rFonts w:hint="eastAsia"/>
          <w:color w:val="000000" w:themeColor="text1"/>
          <w:sz w:val="24"/>
          <w14:textFill>
            <w14:solidFill>
              <w14:schemeClr w14:val="tx1"/>
            </w14:solidFill>
          </w14:textFill>
        </w:rPr>
        <w:t>-Ca·K+Na型水,沿江局部地段及中更新统分布区，一般为HCO</w:t>
      </w:r>
      <w:r>
        <w:rPr>
          <w:rFonts w:hint="eastAsia"/>
          <w:color w:val="000000" w:themeColor="text1"/>
          <w:sz w:val="24"/>
          <w:vertAlign w:val="subscript"/>
          <w14:textFill>
            <w14:solidFill>
              <w14:schemeClr w14:val="tx1"/>
            </w14:solidFill>
          </w14:textFill>
        </w:rPr>
        <w:t>3</w:t>
      </w:r>
      <w:r>
        <w:rPr>
          <w:rFonts w:hint="eastAsia"/>
          <w:color w:val="000000" w:themeColor="text1"/>
          <w:sz w:val="24"/>
          <w14:textFill>
            <w14:solidFill>
              <w14:schemeClr w14:val="tx1"/>
            </w14:solidFill>
          </w14:textFill>
        </w:rPr>
        <w:t>-Cl·Na·Ca型水。南昌降漏斗区受红层地下水的越流补给,致使矿化度和SO</w:t>
      </w:r>
      <w:r>
        <w:rPr>
          <w:rFonts w:hint="eastAsia"/>
          <w:color w:val="000000" w:themeColor="text1"/>
          <w:sz w:val="24"/>
          <w:vertAlign w:val="subscript"/>
          <w14:textFill>
            <w14:solidFill>
              <w14:schemeClr w14:val="tx1"/>
            </w14:solidFill>
          </w14:textFill>
        </w:rPr>
        <w:t>4</w:t>
      </w:r>
      <w:r>
        <w:rPr>
          <w:rFonts w:hint="eastAsia"/>
          <w:color w:val="000000" w:themeColor="text1"/>
          <w:sz w:val="24"/>
          <w:vertAlign w:val="superscript"/>
          <w14:textFill>
            <w14:solidFill>
              <w14:schemeClr w14:val="tx1"/>
            </w14:solidFill>
          </w14:textFill>
        </w:rPr>
        <w:t>2-</w:t>
      </w:r>
      <w:r>
        <w:rPr>
          <w:rFonts w:hint="eastAsia"/>
          <w:color w:val="000000" w:themeColor="text1"/>
          <w:sz w:val="24"/>
          <w14:textFill>
            <w14:solidFill>
              <w14:schemeClr w14:val="tx1"/>
            </w14:solidFill>
          </w14:textFill>
        </w:rPr>
        <w:t>离子含量增高。西部岗间沟谷冲积层和残坡积层,地下水交替条件好，地下水水质为HCO</w:t>
      </w:r>
      <w:r>
        <w:rPr>
          <w:rFonts w:hint="eastAsia"/>
          <w:color w:val="000000" w:themeColor="text1"/>
          <w:sz w:val="24"/>
          <w:vertAlign w:val="subscript"/>
          <w14:textFill>
            <w14:solidFill>
              <w14:schemeClr w14:val="tx1"/>
            </w14:solidFill>
          </w14:textFill>
        </w:rPr>
        <w:t>3</w:t>
      </w:r>
      <w:r>
        <w:rPr>
          <w:rFonts w:hint="eastAsia"/>
          <w:color w:val="000000" w:themeColor="text1"/>
          <w:sz w:val="24"/>
          <w14:textFill>
            <w14:solidFill>
              <w14:schemeClr w14:val="tx1"/>
            </w14:solidFill>
          </w14:textFill>
        </w:rPr>
        <w:t>-Ca型水。</w:t>
      </w:r>
    </w:p>
    <w:p>
      <w:pPr>
        <w:spacing w:before="60" w:after="60" w:line="480" w:lineRule="exact"/>
        <w:outlineLvl w:val="1"/>
        <w:rPr>
          <w:rFonts w:eastAsia="黑体"/>
          <w:b/>
          <w:snapToGrid w:val="0"/>
          <w:spacing w:val="4"/>
          <w:kern w:val="0"/>
          <w:sz w:val="28"/>
          <w:szCs w:val="30"/>
        </w:rPr>
      </w:pPr>
      <w:r>
        <w:rPr>
          <w:rFonts w:hint="eastAsia" w:eastAsia="黑体"/>
          <w:b/>
          <w:snapToGrid w:val="0"/>
          <w:spacing w:val="4"/>
          <w:kern w:val="0"/>
          <w:sz w:val="28"/>
          <w:szCs w:val="30"/>
        </w:rPr>
        <w:t>2</w:t>
      </w:r>
      <w:r>
        <w:rPr>
          <w:rFonts w:eastAsia="黑体"/>
          <w:b/>
          <w:snapToGrid w:val="0"/>
          <w:spacing w:val="4"/>
          <w:kern w:val="0"/>
          <w:sz w:val="28"/>
          <w:szCs w:val="30"/>
        </w:rPr>
        <w:t>.</w:t>
      </w:r>
      <w:r>
        <w:rPr>
          <w:rFonts w:hint="eastAsia" w:eastAsia="黑体"/>
          <w:b/>
          <w:snapToGrid w:val="0"/>
          <w:spacing w:val="4"/>
          <w:kern w:val="0"/>
          <w:sz w:val="28"/>
          <w:szCs w:val="30"/>
        </w:rPr>
        <w:t>4</w:t>
      </w:r>
      <w:r>
        <w:rPr>
          <w:rFonts w:eastAsia="黑体"/>
          <w:b/>
          <w:snapToGrid w:val="0"/>
          <w:spacing w:val="4"/>
          <w:kern w:val="0"/>
          <w:sz w:val="28"/>
          <w:szCs w:val="30"/>
        </w:rPr>
        <w:t xml:space="preserve"> 环境功能区划及环境现状</w:t>
      </w:r>
      <w:bookmarkEnd w:id="52"/>
      <w:bookmarkEnd w:id="64"/>
    </w:p>
    <w:p>
      <w:pPr>
        <w:snapToGrid w:val="0"/>
        <w:spacing w:line="440" w:lineRule="exact"/>
        <w:ind w:firstLine="480" w:firstLineChars="200"/>
        <w:rPr>
          <w:color w:val="FF0000"/>
          <w:sz w:val="24"/>
        </w:rPr>
      </w:pPr>
      <w:bookmarkStart w:id="65" w:name="_Toc10105665"/>
      <w:r>
        <w:rPr>
          <w:rFonts w:hint="eastAsia"/>
          <w:color w:val="FF0000"/>
          <w:sz w:val="24"/>
        </w:rPr>
        <w:t>本项目所在</w:t>
      </w:r>
      <w:r>
        <w:rPr>
          <w:color w:val="FF0000"/>
          <w:spacing w:val="6"/>
          <w:sz w:val="24"/>
        </w:rPr>
        <w:t>区域环境空气为二类功能区，执行《环境空气质量标准》</w:t>
      </w:r>
      <w:r>
        <w:rPr>
          <w:rFonts w:ascii="宋体" w:hAnsi="宋体"/>
          <w:color w:val="FF0000"/>
          <w:spacing w:val="6"/>
          <w:sz w:val="24"/>
        </w:rPr>
        <w:t>(</w:t>
      </w:r>
      <w:r>
        <w:rPr>
          <w:color w:val="FF0000"/>
          <w:spacing w:val="6"/>
          <w:sz w:val="24"/>
        </w:rPr>
        <w:t>GB3095-2012</w:t>
      </w:r>
      <w:r>
        <w:rPr>
          <w:rFonts w:ascii="宋体" w:hAnsi="宋体"/>
          <w:color w:val="FF0000"/>
          <w:spacing w:val="6"/>
          <w:sz w:val="24"/>
        </w:rPr>
        <w:t>)</w:t>
      </w:r>
      <w:r>
        <w:rPr>
          <w:color w:val="FF0000"/>
          <w:spacing w:val="6"/>
          <w:sz w:val="24"/>
        </w:rPr>
        <w:t>二级标准；区域地</w:t>
      </w:r>
      <w:r>
        <w:rPr>
          <w:rFonts w:hint="eastAsia"/>
          <w:color w:val="FF0000"/>
          <w:spacing w:val="6"/>
          <w:sz w:val="24"/>
        </w:rPr>
        <w:t>表</w:t>
      </w:r>
      <w:r>
        <w:rPr>
          <w:color w:val="FF0000"/>
          <w:spacing w:val="6"/>
          <w:sz w:val="24"/>
        </w:rPr>
        <w:t>水为</w:t>
      </w:r>
      <w:r>
        <w:rPr>
          <w:rFonts w:eastAsia="仿宋_GB2312"/>
          <w:color w:val="FF0000"/>
          <w:sz w:val="24"/>
        </w:rPr>
        <w:t>IV</w:t>
      </w:r>
      <w:r>
        <w:rPr>
          <w:color w:val="FF0000"/>
          <w:spacing w:val="6"/>
          <w:sz w:val="24"/>
        </w:rPr>
        <w:t>类，执行《地下水质量标准》(</w:t>
      </w:r>
      <w:r>
        <w:rPr>
          <w:rFonts w:eastAsia="仿宋_GB2312"/>
          <w:color w:val="FF0000"/>
          <w:sz w:val="24"/>
        </w:rPr>
        <w:t>GB3838-2002</w:t>
      </w:r>
      <w:r>
        <w:rPr>
          <w:color w:val="FF0000"/>
          <w:spacing w:val="6"/>
          <w:sz w:val="24"/>
        </w:rPr>
        <w:t>)</w:t>
      </w:r>
      <w:r>
        <w:rPr>
          <w:rFonts w:eastAsia="仿宋_GB2312"/>
          <w:color w:val="FF0000"/>
          <w:sz w:val="24"/>
        </w:rPr>
        <w:t xml:space="preserve"> IV类</w:t>
      </w:r>
      <w:r>
        <w:rPr>
          <w:color w:val="FF0000"/>
          <w:spacing w:val="6"/>
          <w:sz w:val="24"/>
        </w:rPr>
        <w:t>类标准。区域声环境为3类，执行</w:t>
      </w:r>
      <w:r>
        <w:rPr>
          <w:color w:val="FF0000"/>
          <w:sz w:val="24"/>
        </w:rPr>
        <w:t>《声环境质量标准》</w:t>
      </w:r>
      <w:r>
        <w:rPr>
          <w:rFonts w:ascii="宋体" w:hAnsi="宋体"/>
          <w:color w:val="FF0000"/>
          <w:sz w:val="24"/>
        </w:rPr>
        <w:t>(</w:t>
      </w:r>
      <w:r>
        <w:rPr>
          <w:color w:val="FF0000"/>
          <w:sz w:val="24"/>
        </w:rPr>
        <w:t>GB3096-2008</w:t>
      </w:r>
      <w:r>
        <w:rPr>
          <w:rFonts w:ascii="宋体" w:hAnsi="宋体"/>
          <w:color w:val="FF0000"/>
          <w:sz w:val="24"/>
        </w:rPr>
        <w:t>)</w:t>
      </w:r>
      <w:r>
        <w:rPr>
          <w:color w:val="FF0000"/>
          <w:sz w:val="24"/>
        </w:rPr>
        <w:t>3类区标准。</w:t>
      </w:r>
    </w:p>
    <w:p>
      <w:pPr>
        <w:spacing w:before="60" w:after="60" w:line="480" w:lineRule="exact"/>
        <w:outlineLvl w:val="1"/>
        <w:rPr>
          <w:rFonts w:eastAsia="黑体"/>
          <w:b/>
          <w:snapToGrid w:val="0"/>
          <w:spacing w:val="4"/>
          <w:kern w:val="0"/>
          <w:sz w:val="28"/>
          <w:szCs w:val="30"/>
        </w:rPr>
      </w:pPr>
      <w:r>
        <w:rPr>
          <w:rFonts w:eastAsia="黑体"/>
          <w:b/>
          <w:snapToGrid w:val="0"/>
          <w:spacing w:val="4"/>
          <w:kern w:val="0"/>
          <w:sz w:val="28"/>
          <w:szCs w:val="30"/>
        </w:rPr>
        <w:t>2.5 环境敏感点及保护目标</w:t>
      </w:r>
      <w:bookmarkEnd w:id="53"/>
      <w:bookmarkEnd w:id="65"/>
    </w:p>
    <w:p>
      <w:pPr>
        <w:spacing w:line="480" w:lineRule="exact"/>
        <w:outlineLvl w:val="2"/>
        <w:rPr>
          <w:rFonts w:eastAsia="黑体"/>
          <w:b/>
          <w:snapToGrid w:val="0"/>
          <w:spacing w:val="4"/>
          <w:kern w:val="0"/>
          <w:sz w:val="24"/>
          <w:szCs w:val="28"/>
        </w:rPr>
      </w:pPr>
      <w:bookmarkStart w:id="66" w:name="_Toc500487279"/>
      <w:bookmarkStart w:id="67" w:name="_Toc524953677"/>
      <w:bookmarkStart w:id="68" w:name="_Toc509302706"/>
      <w:bookmarkStart w:id="69" w:name="_Toc10105666"/>
      <w:bookmarkStart w:id="70" w:name="_Toc524953576"/>
      <w:r>
        <w:rPr>
          <w:rFonts w:hint="eastAsia" w:eastAsia="黑体"/>
          <w:b/>
          <w:snapToGrid w:val="0"/>
          <w:spacing w:val="4"/>
          <w:kern w:val="0"/>
          <w:sz w:val="24"/>
          <w:szCs w:val="28"/>
        </w:rPr>
        <w:t>2.5.1大气环境风险受体</w:t>
      </w:r>
      <w:bookmarkEnd w:id="66"/>
      <w:bookmarkEnd w:id="67"/>
      <w:bookmarkEnd w:id="68"/>
      <w:bookmarkEnd w:id="69"/>
      <w:bookmarkEnd w:id="70"/>
    </w:p>
    <w:p>
      <w:pPr>
        <w:pStyle w:val="13"/>
        <w:spacing w:after="0" w:line="480" w:lineRule="exact"/>
        <w:ind w:left="0" w:leftChars="0"/>
        <w:rPr>
          <w:rFonts w:hAnsi="宋体"/>
          <w:snapToGrid w:val="0"/>
          <w:sz w:val="24"/>
        </w:rPr>
      </w:pPr>
      <w:bookmarkStart w:id="71" w:name="_Toc497226199"/>
      <w:bookmarkStart w:id="72" w:name="_Toc500487280"/>
      <w:bookmarkStart w:id="73" w:name="_Toc484163981"/>
      <w:bookmarkStart w:id="74" w:name="_Toc509302707"/>
      <w:r>
        <w:rPr>
          <w:rFonts w:hAnsi="宋体"/>
          <w:snapToGrid w:val="0"/>
          <w:sz w:val="24"/>
        </w:rPr>
        <w:t>企业周边</w:t>
      </w:r>
      <w:r>
        <w:rPr>
          <w:rFonts w:hint="eastAsia" w:hAnsi="宋体"/>
          <w:snapToGrid w:val="0"/>
          <w:sz w:val="24"/>
        </w:rPr>
        <w:t>500米</w:t>
      </w:r>
      <w:r>
        <w:rPr>
          <w:rFonts w:hAnsi="宋体"/>
          <w:snapToGrid w:val="0"/>
          <w:sz w:val="24"/>
        </w:rPr>
        <w:t>大气环境</w:t>
      </w:r>
      <w:r>
        <w:rPr>
          <w:rFonts w:hAnsi="宋体"/>
          <w:snapToGrid w:val="0"/>
          <w:color w:val="000000"/>
          <w:sz w:val="24"/>
        </w:rPr>
        <w:t>风险受体</w:t>
      </w:r>
      <w:r>
        <w:rPr>
          <w:rFonts w:hint="eastAsia" w:hAnsi="宋体"/>
          <w:snapToGrid w:val="0"/>
          <w:color w:val="000000"/>
          <w:sz w:val="24"/>
        </w:rPr>
        <w:t>情况</w:t>
      </w:r>
      <w:r>
        <w:rPr>
          <w:rFonts w:hAnsi="宋体"/>
          <w:snapToGrid w:val="0"/>
          <w:color w:val="000000"/>
          <w:sz w:val="24"/>
        </w:rPr>
        <w:t>见</w:t>
      </w:r>
      <w:r>
        <w:rPr>
          <w:rFonts w:hint="eastAsia" w:hAnsi="宋体"/>
          <w:snapToGrid w:val="0"/>
          <w:color w:val="000000"/>
          <w:sz w:val="24"/>
        </w:rPr>
        <w:t>下表，具体分布情况见附图2</w:t>
      </w:r>
      <w:r>
        <w:rPr>
          <w:rFonts w:hAnsi="宋体"/>
          <w:snapToGrid w:val="0"/>
          <w:color w:val="000000"/>
          <w:sz w:val="24"/>
        </w:rPr>
        <w:t>。</w:t>
      </w:r>
    </w:p>
    <w:p>
      <w:pPr>
        <w:spacing w:line="500" w:lineRule="exact"/>
        <w:jc w:val="center"/>
        <w:rPr>
          <w:rFonts w:hint="eastAsia"/>
          <w:b/>
          <w:snapToGrid w:val="0"/>
          <w:spacing w:val="4"/>
          <w:kern w:val="0"/>
          <w:highlight w:val="none"/>
        </w:rPr>
      </w:pPr>
      <w:r>
        <w:rPr>
          <w:b/>
          <w:snapToGrid w:val="0"/>
          <w:spacing w:val="4"/>
          <w:kern w:val="0"/>
          <w:highlight w:val="none"/>
        </w:rPr>
        <w:t>表</w:t>
      </w:r>
      <w:r>
        <w:rPr>
          <w:rFonts w:hint="eastAsia"/>
          <w:b/>
          <w:snapToGrid w:val="0"/>
          <w:spacing w:val="4"/>
          <w:kern w:val="0"/>
          <w:highlight w:val="none"/>
        </w:rPr>
        <w:t>2</w:t>
      </w:r>
      <w:r>
        <w:rPr>
          <w:b/>
          <w:snapToGrid w:val="0"/>
          <w:spacing w:val="4"/>
          <w:kern w:val="0"/>
          <w:highlight w:val="none"/>
        </w:rPr>
        <w:t>.</w:t>
      </w:r>
      <w:r>
        <w:rPr>
          <w:rFonts w:hint="eastAsia"/>
          <w:b/>
          <w:snapToGrid w:val="0"/>
          <w:spacing w:val="4"/>
          <w:kern w:val="0"/>
          <w:highlight w:val="none"/>
        </w:rPr>
        <w:t>5</w:t>
      </w:r>
      <w:r>
        <w:rPr>
          <w:b/>
          <w:snapToGrid w:val="0"/>
          <w:spacing w:val="4"/>
          <w:kern w:val="0"/>
          <w:highlight w:val="none"/>
        </w:rPr>
        <w:t>-1  周边大气环境风险受体情况一览表</w:t>
      </w:r>
      <w:r>
        <w:rPr>
          <w:rFonts w:hint="eastAsia"/>
          <w:b/>
          <w:snapToGrid w:val="0"/>
          <w:spacing w:val="4"/>
          <w:kern w:val="0"/>
          <w:highlight w:val="none"/>
        </w:rPr>
        <w:t>-500m</w:t>
      </w:r>
    </w:p>
    <w:tbl>
      <w:tblPr>
        <w:tblStyle w:val="3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2994"/>
        <w:gridCol w:w="2070"/>
        <w:gridCol w:w="2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trPr>
        <w:tc>
          <w:tcPr>
            <w:tcW w:w="1170" w:type="dxa"/>
            <w:noWrap w:val="0"/>
            <w:vAlign w:val="center"/>
          </w:tcPr>
          <w:p>
            <w:pPr>
              <w:autoSpaceDE w:val="0"/>
              <w:autoSpaceDN w:val="0"/>
              <w:adjustRightInd w:val="0"/>
              <w:snapToGrid w:val="0"/>
              <w:spacing w:line="320" w:lineRule="exact"/>
              <w:jc w:val="center"/>
              <w:rPr>
                <w:color w:val="FF0000"/>
                <w:sz w:val="21"/>
                <w:highlight w:val="none"/>
              </w:rPr>
            </w:pPr>
            <w:r>
              <w:rPr>
                <w:color w:val="FF0000"/>
                <w:sz w:val="21"/>
                <w:highlight w:val="none"/>
              </w:rPr>
              <w:t>序号</w:t>
            </w:r>
          </w:p>
        </w:tc>
        <w:tc>
          <w:tcPr>
            <w:tcW w:w="2994" w:type="dxa"/>
            <w:noWrap w:val="0"/>
            <w:vAlign w:val="center"/>
          </w:tcPr>
          <w:p>
            <w:pPr>
              <w:autoSpaceDE w:val="0"/>
              <w:autoSpaceDN w:val="0"/>
              <w:adjustRightInd w:val="0"/>
              <w:snapToGrid w:val="0"/>
              <w:spacing w:line="320" w:lineRule="exact"/>
              <w:jc w:val="center"/>
              <w:rPr>
                <w:color w:val="FF0000"/>
                <w:sz w:val="21"/>
                <w:highlight w:val="none"/>
              </w:rPr>
            </w:pPr>
            <w:r>
              <w:rPr>
                <w:color w:val="FF0000"/>
                <w:sz w:val="21"/>
                <w:highlight w:val="none"/>
              </w:rPr>
              <w:t>名称</w:t>
            </w:r>
          </w:p>
        </w:tc>
        <w:tc>
          <w:tcPr>
            <w:tcW w:w="2070" w:type="dxa"/>
            <w:noWrap w:val="0"/>
            <w:vAlign w:val="center"/>
          </w:tcPr>
          <w:p>
            <w:pPr>
              <w:autoSpaceDE w:val="0"/>
              <w:autoSpaceDN w:val="0"/>
              <w:adjustRightInd w:val="0"/>
              <w:snapToGrid w:val="0"/>
              <w:spacing w:line="320" w:lineRule="exact"/>
              <w:jc w:val="center"/>
              <w:rPr>
                <w:bCs/>
                <w:color w:val="FF0000"/>
                <w:sz w:val="21"/>
                <w:highlight w:val="none"/>
              </w:rPr>
            </w:pPr>
            <w:r>
              <w:rPr>
                <w:rFonts w:hint="eastAsia"/>
                <w:color w:val="FF0000"/>
                <w:sz w:val="21"/>
                <w:highlight w:val="none"/>
              </w:rPr>
              <w:t>方位</w:t>
            </w:r>
          </w:p>
        </w:tc>
        <w:tc>
          <w:tcPr>
            <w:tcW w:w="2288" w:type="dxa"/>
            <w:noWrap w:val="0"/>
            <w:vAlign w:val="center"/>
          </w:tcPr>
          <w:p>
            <w:pPr>
              <w:autoSpaceDE w:val="0"/>
              <w:autoSpaceDN w:val="0"/>
              <w:adjustRightInd w:val="0"/>
              <w:snapToGrid w:val="0"/>
              <w:spacing w:line="320" w:lineRule="exact"/>
              <w:jc w:val="center"/>
              <w:rPr>
                <w:color w:val="FF0000"/>
                <w:sz w:val="21"/>
                <w:highlight w:val="none"/>
              </w:rPr>
            </w:pPr>
            <w:r>
              <w:rPr>
                <w:bCs/>
                <w:color w:val="FF0000"/>
                <w:sz w:val="21"/>
                <w:highlight w:val="none"/>
              </w:rPr>
              <w:t>距离</w:t>
            </w:r>
            <w:r>
              <w:rPr>
                <w:rFonts w:hint="eastAsia" w:ascii="宋体" w:hAnsi="宋体"/>
                <w:bCs/>
                <w:color w:val="FF0000"/>
                <w:sz w:val="21"/>
                <w:highlight w:val="none"/>
              </w:rPr>
              <w:t>(</w:t>
            </w:r>
            <w:r>
              <w:rPr>
                <w:rFonts w:hint="eastAsia"/>
                <w:bCs/>
                <w:color w:val="FF0000"/>
                <w:sz w:val="21"/>
                <w:highlight w:val="none"/>
              </w:rPr>
              <w:t>m</w:t>
            </w:r>
            <w:r>
              <w:rPr>
                <w:rFonts w:hint="eastAsia" w:ascii="宋体" w:hAnsi="宋体"/>
                <w:bCs/>
                <w:color w:val="FF0000"/>
                <w:sz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17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ind w:firstLine="0"/>
              <w:jc w:val="center"/>
              <w:textAlignment w:val="auto"/>
              <w:rPr>
                <w:color w:val="FF0000"/>
                <w:sz w:val="21"/>
                <w:highlight w:val="none"/>
              </w:rPr>
            </w:pPr>
            <w:r>
              <w:rPr>
                <w:rFonts w:hint="eastAsia"/>
                <w:color w:val="FF0000"/>
                <w:sz w:val="21"/>
                <w:highlight w:val="none"/>
              </w:rPr>
              <w:t>1</w:t>
            </w:r>
          </w:p>
        </w:tc>
        <w:tc>
          <w:tcPr>
            <w:tcW w:w="2994" w:type="dxa"/>
            <w:noWrap w:val="0"/>
            <w:vAlign w:val="center"/>
          </w:tcPr>
          <w:p>
            <w:pPr>
              <w:keepNext w:val="0"/>
              <w:keepLines w:val="0"/>
              <w:pageBreakBefore w:val="0"/>
              <w:widowControl w:val="0"/>
              <w:kinsoku/>
              <w:wordWrap/>
              <w:overflowPunct/>
              <w:topLinePunct w:val="0"/>
              <w:autoSpaceDE/>
              <w:autoSpaceDN/>
              <w:bidi w:val="0"/>
              <w:adjustRightInd w:val="0"/>
              <w:snapToGrid w:val="0"/>
              <w:ind w:firstLine="0"/>
              <w:jc w:val="center"/>
              <w:textAlignment w:val="auto"/>
              <w:rPr>
                <w:rFonts w:hint="eastAsia" w:eastAsia="宋体"/>
                <w:color w:val="FF0000"/>
                <w:sz w:val="21"/>
                <w:highlight w:val="none"/>
                <w:lang w:eastAsia="zh-CN"/>
              </w:rPr>
            </w:pPr>
            <w:r>
              <w:rPr>
                <w:rFonts w:hint="eastAsia" w:eastAsia="宋体"/>
                <w:color w:val="FF0000"/>
                <w:sz w:val="21"/>
                <w:highlight w:val="none"/>
                <w:lang w:eastAsia="zh-CN"/>
              </w:rPr>
              <w:t>铭雅欧洲城</w:t>
            </w:r>
          </w:p>
        </w:tc>
        <w:tc>
          <w:tcPr>
            <w:tcW w:w="2070" w:type="dxa"/>
            <w:noWrap w:val="0"/>
            <w:vAlign w:val="center"/>
          </w:tcPr>
          <w:p>
            <w:pPr>
              <w:adjustRightInd w:val="0"/>
              <w:snapToGrid w:val="0"/>
              <w:jc w:val="center"/>
              <w:rPr>
                <w:rFonts w:hint="default" w:eastAsia="宋体"/>
                <w:color w:val="FF0000"/>
                <w:sz w:val="21"/>
                <w:highlight w:val="none"/>
                <w:lang w:val="en-US" w:eastAsia="zh-CN"/>
              </w:rPr>
            </w:pPr>
            <w:r>
              <w:rPr>
                <w:rFonts w:hint="eastAsia"/>
                <w:color w:val="FF0000"/>
                <w:sz w:val="21"/>
                <w:highlight w:val="none"/>
                <w:lang w:val="en-US" w:eastAsia="zh-CN"/>
              </w:rPr>
              <w:t>NE</w:t>
            </w:r>
          </w:p>
        </w:tc>
        <w:tc>
          <w:tcPr>
            <w:tcW w:w="2288" w:type="dxa"/>
            <w:noWrap w:val="0"/>
            <w:vAlign w:val="center"/>
          </w:tcPr>
          <w:p>
            <w:pPr>
              <w:adjustRightInd w:val="0"/>
              <w:snapToGrid w:val="0"/>
              <w:jc w:val="center"/>
              <w:rPr>
                <w:rFonts w:hint="default" w:eastAsia="宋体"/>
                <w:color w:val="FF0000"/>
                <w:sz w:val="21"/>
                <w:highlight w:val="none"/>
                <w:lang w:val="en-US" w:eastAsia="zh-CN"/>
              </w:rPr>
            </w:pPr>
            <w:r>
              <w:rPr>
                <w:rFonts w:hint="eastAsia" w:eastAsia="宋体"/>
                <w:color w:val="FF0000"/>
                <w:sz w:val="21"/>
                <w:highlight w:val="none"/>
                <w:lang w:val="en-US" w:eastAsia="zh-CN"/>
              </w:rP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17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ind w:firstLine="0"/>
              <w:jc w:val="center"/>
              <w:textAlignment w:val="auto"/>
              <w:rPr>
                <w:rFonts w:hint="eastAsia"/>
                <w:color w:val="FF0000"/>
                <w:sz w:val="21"/>
                <w:highlight w:val="none"/>
              </w:rPr>
            </w:pPr>
            <w:r>
              <w:rPr>
                <w:rFonts w:hint="eastAsia"/>
                <w:color w:val="FF0000"/>
                <w:sz w:val="21"/>
                <w:highlight w:val="none"/>
              </w:rPr>
              <w:t>2</w:t>
            </w:r>
          </w:p>
        </w:tc>
        <w:tc>
          <w:tcPr>
            <w:tcW w:w="2994" w:type="dxa"/>
            <w:noWrap w:val="0"/>
            <w:vAlign w:val="center"/>
          </w:tcPr>
          <w:p>
            <w:pPr>
              <w:keepNext w:val="0"/>
              <w:keepLines w:val="0"/>
              <w:pageBreakBefore w:val="0"/>
              <w:widowControl w:val="0"/>
              <w:kinsoku/>
              <w:wordWrap/>
              <w:overflowPunct/>
              <w:topLinePunct w:val="0"/>
              <w:autoSpaceDE/>
              <w:autoSpaceDN/>
              <w:bidi w:val="0"/>
              <w:adjustRightInd w:val="0"/>
              <w:snapToGrid w:val="0"/>
              <w:ind w:firstLine="0"/>
              <w:jc w:val="center"/>
              <w:textAlignment w:val="auto"/>
              <w:rPr>
                <w:rFonts w:hint="default" w:eastAsia="宋体"/>
                <w:color w:val="FF0000"/>
                <w:sz w:val="21"/>
                <w:highlight w:val="none"/>
                <w:lang w:val="en-US" w:eastAsia="zh-CN"/>
              </w:rPr>
            </w:pPr>
            <w:r>
              <w:rPr>
                <w:rFonts w:hint="eastAsia" w:eastAsia="宋体"/>
                <w:color w:val="FF0000"/>
                <w:sz w:val="21"/>
                <w:highlight w:val="none"/>
                <w:lang w:val="en-US" w:eastAsia="zh-CN"/>
              </w:rPr>
              <w:t>荷兰苑小区</w:t>
            </w:r>
          </w:p>
        </w:tc>
        <w:tc>
          <w:tcPr>
            <w:tcW w:w="2070" w:type="dxa"/>
            <w:noWrap w:val="0"/>
            <w:vAlign w:val="center"/>
          </w:tcPr>
          <w:p>
            <w:pPr>
              <w:adjustRightInd w:val="0"/>
              <w:snapToGrid w:val="0"/>
              <w:jc w:val="center"/>
              <w:rPr>
                <w:rFonts w:hint="default" w:eastAsia="宋体"/>
                <w:color w:val="FF0000"/>
                <w:sz w:val="21"/>
                <w:highlight w:val="none"/>
                <w:lang w:val="en-US" w:eastAsia="zh-CN"/>
              </w:rPr>
            </w:pPr>
            <w:r>
              <w:rPr>
                <w:rFonts w:hint="eastAsia" w:eastAsia="宋体"/>
                <w:color w:val="FF0000"/>
                <w:sz w:val="21"/>
                <w:highlight w:val="none"/>
                <w:lang w:val="en-US" w:eastAsia="zh-CN"/>
              </w:rPr>
              <w:t>E</w:t>
            </w:r>
          </w:p>
        </w:tc>
        <w:tc>
          <w:tcPr>
            <w:tcW w:w="2288" w:type="dxa"/>
            <w:noWrap w:val="0"/>
            <w:vAlign w:val="center"/>
          </w:tcPr>
          <w:p>
            <w:pPr>
              <w:adjustRightInd w:val="0"/>
              <w:snapToGrid w:val="0"/>
              <w:jc w:val="center"/>
              <w:rPr>
                <w:rFonts w:hint="default" w:eastAsia="宋体"/>
                <w:color w:val="FF0000"/>
                <w:sz w:val="21"/>
                <w:highlight w:val="none"/>
                <w:lang w:val="en-US" w:eastAsia="zh-CN"/>
              </w:rPr>
            </w:pPr>
            <w:r>
              <w:rPr>
                <w:rFonts w:hint="eastAsia" w:eastAsia="宋体"/>
                <w:color w:val="FF0000"/>
                <w:sz w:val="21"/>
                <w:highlight w:val="none"/>
                <w:lang w:val="en-US" w:eastAsia="zh-CN"/>
              </w:rPr>
              <w:t>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17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ind w:firstLine="0"/>
              <w:jc w:val="center"/>
              <w:textAlignment w:val="auto"/>
              <w:rPr>
                <w:rFonts w:hint="eastAsia"/>
                <w:color w:val="FF0000"/>
                <w:sz w:val="21"/>
                <w:highlight w:val="none"/>
              </w:rPr>
            </w:pPr>
            <w:r>
              <w:rPr>
                <w:rFonts w:hint="eastAsia"/>
                <w:color w:val="FF0000"/>
                <w:sz w:val="21"/>
                <w:highlight w:val="none"/>
              </w:rPr>
              <w:t>3</w:t>
            </w:r>
          </w:p>
        </w:tc>
        <w:tc>
          <w:tcPr>
            <w:tcW w:w="2994" w:type="dxa"/>
            <w:noWrap w:val="0"/>
            <w:vAlign w:val="center"/>
          </w:tcPr>
          <w:p>
            <w:pPr>
              <w:keepNext w:val="0"/>
              <w:keepLines w:val="0"/>
              <w:pageBreakBefore w:val="0"/>
              <w:widowControl w:val="0"/>
              <w:kinsoku/>
              <w:wordWrap/>
              <w:overflowPunct/>
              <w:topLinePunct w:val="0"/>
              <w:autoSpaceDE/>
              <w:autoSpaceDN/>
              <w:bidi w:val="0"/>
              <w:adjustRightInd w:val="0"/>
              <w:snapToGrid w:val="0"/>
              <w:ind w:firstLine="0"/>
              <w:jc w:val="center"/>
              <w:textAlignment w:val="auto"/>
              <w:rPr>
                <w:rFonts w:hint="default" w:eastAsia="宋体"/>
                <w:color w:val="FF0000"/>
                <w:sz w:val="21"/>
                <w:highlight w:val="none"/>
                <w:lang w:val="en-US" w:eastAsia="zh-CN"/>
              </w:rPr>
            </w:pPr>
            <w:r>
              <w:rPr>
                <w:rFonts w:hint="eastAsia" w:eastAsia="宋体"/>
                <w:color w:val="FF0000"/>
                <w:sz w:val="21"/>
                <w:highlight w:val="none"/>
                <w:lang w:val="en-US" w:eastAsia="zh-CN"/>
              </w:rPr>
              <w:t>江西建设职业技术学院</w:t>
            </w:r>
          </w:p>
        </w:tc>
        <w:tc>
          <w:tcPr>
            <w:tcW w:w="2070" w:type="dxa"/>
            <w:noWrap w:val="0"/>
            <w:vAlign w:val="center"/>
          </w:tcPr>
          <w:p>
            <w:pPr>
              <w:adjustRightInd w:val="0"/>
              <w:snapToGrid w:val="0"/>
              <w:jc w:val="center"/>
              <w:rPr>
                <w:rFonts w:hint="default" w:eastAsia="宋体"/>
                <w:color w:val="FF0000"/>
                <w:sz w:val="21"/>
                <w:highlight w:val="none"/>
                <w:lang w:val="en-US" w:eastAsia="zh-CN"/>
              </w:rPr>
            </w:pPr>
            <w:r>
              <w:rPr>
                <w:rFonts w:hint="eastAsia" w:eastAsia="宋体"/>
                <w:color w:val="FF0000"/>
                <w:sz w:val="21"/>
                <w:highlight w:val="none"/>
                <w:lang w:val="en-US" w:eastAsia="zh-CN"/>
              </w:rPr>
              <w:t>E</w:t>
            </w:r>
          </w:p>
        </w:tc>
        <w:tc>
          <w:tcPr>
            <w:tcW w:w="2288" w:type="dxa"/>
            <w:noWrap w:val="0"/>
            <w:vAlign w:val="center"/>
          </w:tcPr>
          <w:p>
            <w:pPr>
              <w:adjustRightInd w:val="0"/>
              <w:snapToGrid w:val="0"/>
              <w:jc w:val="center"/>
              <w:rPr>
                <w:rFonts w:hint="default" w:eastAsia="宋体"/>
                <w:color w:val="FF0000"/>
                <w:sz w:val="21"/>
                <w:highlight w:val="none"/>
                <w:lang w:val="en-US" w:eastAsia="zh-CN"/>
              </w:rPr>
            </w:pPr>
            <w:r>
              <w:rPr>
                <w:rFonts w:hint="eastAsia" w:eastAsia="宋体"/>
                <w:color w:val="FF0000"/>
                <w:sz w:val="21"/>
                <w:highlight w:val="no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17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ind w:firstLine="0"/>
              <w:jc w:val="center"/>
              <w:textAlignment w:val="auto"/>
              <w:rPr>
                <w:rFonts w:hint="eastAsia"/>
                <w:color w:val="FF0000"/>
                <w:sz w:val="21"/>
                <w:highlight w:val="none"/>
              </w:rPr>
            </w:pPr>
            <w:r>
              <w:rPr>
                <w:rFonts w:hint="eastAsia"/>
                <w:color w:val="FF0000"/>
                <w:sz w:val="21"/>
                <w:highlight w:val="none"/>
              </w:rPr>
              <w:t>4</w:t>
            </w:r>
          </w:p>
        </w:tc>
        <w:tc>
          <w:tcPr>
            <w:tcW w:w="2994" w:type="dxa"/>
            <w:noWrap w:val="0"/>
            <w:vAlign w:val="center"/>
          </w:tcPr>
          <w:p>
            <w:pPr>
              <w:keepNext w:val="0"/>
              <w:keepLines w:val="0"/>
              <w:pageBreakBefore w:val="0"/>
              <w:widowControl w:val="0"/>
              <w:kinsoku/>
              <w:wordWrap/>
              <w:overflowPunct/>
              <w:topLinePunct w:val="0"/>
              <w:autoSpaceDE/>
              <w:autoSpaceDN/>
              <w:bidi w:val="0"/>
              <w:adjustRightInd w:val="0"/>
              <w:snapToGrid w:val="0"/>
              <w:ind w:firstLine="0"/>
              <w:jc w:val="center"/>
              <w:textAlignment w:val="auto"/>
              <w:rPr>
                <w:rFonts w:hint="default" w:eastAsia="宋体"/>
                <w:color w:val="FF0000"/>
                <w:sz w:val="21"/>
                <w:highlight w:val="none"/>
                <w:lang w:val="en-US" w:eastAsia="zh-CN"/>
              </w:rPr>
            </w:pPr>
            <w:r>
              <w:rPr>
                <w:rFonts w:hint="eastAsia" w:eastAsia="宋体"/>
                <w:color w:val="FF0000"/>
                <w:sz w:val="21"/>
                <w:highlight w:val="none"/>
                <w:lang w:val="en-US" w:eastAsia="zh-CN"/>
              </w:rPr>
              <w:t>昌北水泥厂宿舍</w:t>
            </w:r>
          </w:p>
        </w:tc>
        <w:tc>
          <w:tcPr>
            <w:tcW w:w="2070" w:type="dxa"/>
            <w:noWrap w:val="0"/>
            <w:vAlign w:val="center"/>
          </w:tcPr>
          <w:p>
            <w:pPr>
              <w:adjustRightInd w:val="0"/>
              <w:snapToGrid w:val="0"/>
              <w:jc w:val="center"/>
              <w:rPr>
                <w:rFonts w:hint="default" w:eastAsia="宋体"/>
                <w:color w:val="FF0000"/>
                <w:sz w:val="21"/>
                <w:highlight w:val="none"/>
                <w:lang w:val="en-US" w:eastAsia="zh-CN"/>
              </w:rPr>
            </w:pPr>
            <w:r>
              <w:rPr>
                <w:rFonts w:hint="eastAsia" w:eastAsia="宋体"/>
                <w:color w:val="FF0000"/>
                <w:sz w:val="21"/>
                <w:highlight w:val="none"/>
                <w:lang w:val="en-US" w:eastAsia="zh-CN"/>
              </w:rPr>
              <w:t>S</w:t>
            </w:r>
          </w:p>
        </w:tc>
        <w:tc>
          <w:tcPr>
            <w:tcW w:w="2288" w:type="dxa"/>
            <w:noWrap w:val="0"/>
            <w:vAlign w:val="center"/>
          </w:tcPr>
          <w:p>
            <w:pPr>
              <w:adjustRightInd w:val="0"/>
              <w:snapToGrid w:val="0"/>
              <w:jc w:val="center"/>
              <w:rPr>
                <w:rFonts w:hint="default" w:eastAsia="宋体"/>
                <w:color w:val="FF0000"/>
                <w:sz w:val="21"/>
                <w:highlight w:val="none"/>
                <w:lang w:val="en-US" w:eastAsia="zh-CN"/>
              </w:rPr>
            </w:pPr>
            <w:r>
              <w:rPr>
                <w:rFonts w:hint="eastAsia" w:eastAsia="宋体"/>
                <w:color w:val="FF0000"/>
                <w:sz w:val="21"/>
                <w:highlight w:val="no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17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ind w:firstLine="0"/>
              <w:jc w:val="center"/>
              <w:textAlignment w:val="auto"/>
              <w:rPr>
                <w:rFonts w:hint="eastAsia"/>
                <w:color w:val="FF0000"/>
                <w:sz w:val="21"/>
                <w:highlight w:val="none"/>
              </w:rPr>
            </w:pPr>
            <w:r>
              <w:rPr>
                <w:rFonts w:hint="eastAsia"/>
                <w:color w:val="FF0000"/>
                <w:sz w:val="21"/>
                <w:highlight w:val="none"/>
              </w:rPr>
              <w:t>5</w:t>
            </w:r>
          </w:p>
        </w:tc>
        <w:tc>
          <w:tcPr>
            <w:tcW w:w="2994" w:type="dxa"/>
            <w:noWrap w:val="0"/>
            <w:vAlign w:val="center"/>
          </w:tcPr>
          <w:p>
            <w:pPr>
              <w:keepNext w:val="0"/>
              <w:keepLines w:val="0"/>
              <w:pageBreakBefore w:val="0"/>
              <w:widowControl w:val="0"/>
              <w:kinsoku/>
              <w:wordWrap/>
              <w:overflowPunct/>
              <w:topLinePunct w:val="0"/>
              <w:autoSpaceDE/>
              <w:autoSpaceDN/>
              <w:bidi w:val="0"/>
              <w:adjustRightInd w:val="0"/>
              <w:snapToGrid w:val="0"/>
              <w:ind w:firstLine="0"/>
              <w:jc w:val="center"/>
              <w:textAlignment w:val="auto"/>
              <w:rPr>
                <w:rFonts w:hint="default" w:eastAsia="宋体"/>
                <w:color w:val="FF0000"/>
                <w:sz w:val="21"/>
                <w:highlight w:val="none"/>
                <w:lang w:val="en-US" w:eastAsia="zh-CN"/>
              </w:rPr>
            </w:pPr>
            <w:r>
              <w:rPr>
                <w:rFonts w:hint="eastAsia" w:eastAsia="宋体"/>
                <w:color w:val="FF0000"/>
                <w:sz w:val="21"/>
                <w:highlight w:val="none"/>
                <w:lang w:val="en-US" w:eastAsia="zh-CN"/>
              </w:rPr>
              <w:t>万寿园小区</w:t>
            </w:r>
          </w:p>
        </w:tc>
        <w:tc>
          <w:tcPr>
            <w:tcW w:w="2070" w:type="dxa"/>
            <w:noWrap w:val="0"/>
            <w:vAlign w:val="center"/>
          </w:tcPr>
          <w:p>
            <w:pPr>
              <w:adjustRightInd w:val="0"/>
              <w:snapToGrid w:val="0"/>
              <w:jc w:val="center"/>
              <w:rPr>
                <w:rFonts w:hint="default" w:eastAsia="宋体"/>
                <w:color w:val="FF0000"/>
                <w:sz w:val="21"/>
                <w:highlight w:val="none"/>
                <w:lang w:val="en-US" w:eastAsia="zh-CN"/>
              </w:rPr>
            </w:pPr>
            <w:r>
              <w:rPr>
                <w:rFonts w:hint="eastAsia" w:eastAsia="宋体"/>
                <w:color w:val="FF0000"/>
                <w:sz w:val="21"/>
                <w:highlight w:val="none"/>
                <w:lang w:val="en-US" w:eastAsia="zh-CN"/>
              </w:rPr>
              <w:t>W</w:t>
            </w:r>
          </w:p>
        </w:tc>
        <w:tc>
          <w:tcPr>
            <w:tcW w:w="2288" w:type="dxa"/>
            <w:noWrap w:val="0"/>
            <w:vAlign w:val="center"/>
          </w:tcPr>
          <w:p>
            <w:pPr>
              <w:adjustRightInd w:val="0"/>
              <w:snapToGrid w:val="0"/>
              <w:jc w:val="center"/>
              <w:rPr>
                <w:rFonts w:hint="default" w:eastAsia="宋体"/>
                <w:color w:val="FF0000"/>
                <w:sz w:val="21"/>
                <w:highlight w:val="none"/>
                <w:lang w:val="en-US" w:eastAsia="zh-CN"/>
              </w:rPr>
            </w:pPr>
            <w:r>
              <w:rPr>
                <w:rFonts w:hint="eastAsia" w:eastAsia="宋体"/>
                <w:color w:val="FF0000"/>
                <w:sz w:val="21"/>
                <w:highlight w:val="none"/>
                <w:lang w:val="en-US" w:eastAsia="zh-CN"/>
              </w:rPr>
              <w:t>470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17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ind w:firstLine="0"/>
              <w:jc w:val="center"/>
              <w:textAlignment w:val="auto"/>
              <w:rPr>
                <w:rFonts w:hint="eastAsia"/>
                <w:color w:val="FF0000"/>
                <w:sz w:val="21"/>
                <w:highlight w:val="none"/>
              </w:rPr>
            </w:pPr>
            <w:r>
              <w:rPr>
                <w:rFonts w:hint="eastAsia"/>
                <w:color w:val="FF0000"/>
                <w:sz w:val="21"/>
                <w:highlight w:val="none"/>
              </w:rPr>
              <w:t>6</w:t>
            </w:r>
          </w:p>
        </w:tc>
        <w:tc>
          <w:tcPr>
            <w:tcW w:w="2994" w:type="dxa"/>
            <w:noWrap w:val="0"/>
            <w:vAlign w:val="center"/>
          </w:tcPr>
          <w:p>
            <w:pPr>
              <w:keepNext w:val="0"/>
              <w:keepLines w:val="0"/>
              <w:pageBreakBefore w:val="0"/>
              <w:widowControl w:val="0"/>
              <w:kinsoku/>
              <w:wordWrap/>
              <w:overflowPunct/>
              <w:topLinePunct w:val="0"/>
              <w:autoSpaceDE/>
              <w:autoSpaceDN/>
              <w:bidi w:val="0"/>
              <w:adjustRightInd w:val="0"/>
              <w:snapToGrid w:val="0"/>
              <w:ind w:firstLine="0"/>
              <w:jc w:val="center"/>
              <w:textAlignment w:val="auto"/>
              <w:rPr>
                <w:rFonts w:hint="default" w:eastAsia="宋体"/>
                <w:color w:val="FF0000"/>
                <w:sz w:val="21"/>
                <w:highlight w:val="none"/>
                <w:lang w:val="en-US" w:eastAsia="zh-CN"/>
              </w:rPr>
            </w:pPr>
            <w:r>
              <w:rPr>
                <w:rFonts w:hint="eastAsia" w:eastAsia="宋体"/>
                <w:color w:val="FF0000"/>
                <w:sz w:val="21"/>
                <w:highlight w:val="none"/>
                <w:lang w:val="en-US" w:eastAsia="zh-CN"/>
              </w:rPr>
              <w:t>江西省建设工程学校</w:t>
            </w:r>
          </w:p>
        </w:tc>
        <w:tc>
          <w:tcPr>
            <w:tcW w:w="2070" w:type="dxa"/>
            <w:noWrap w:val="0"/>
            <w:vAlign w:val="center"/>
          </w:tcPr>
          <w:p>
            <w:pPr>
              <w:adjustRightInd w:val="0"/>
              <w:snapToGrid w:val="0"/>
              <w:jc w:val="center"/>
              <w:rPr>
                <w:rFonts w:hint="default" w:eastAsia="宋体"/>
                <w:color w:val="FF0000"/>
                <w:sz w:val="21"/>
                <w:highlight w:val="none"/>
                <w:lang w:val="en-US" w:eastAsia="zh-CN"/>
              </w:rPr>
            </w:pPr>
            <w:r>
              <w:rPr>
                <w:rFonts w:hint="eastAsia" w:eastAsia="宋体"/>
                <w:color w:val="FF0000"/>
                <w:sz w:val="21"/>
                <w:highlight w:val="none"/>
                <w:lang w:val="en-US" w:eastAsia="zh-CN"/>
              </w:rPr>
              <w:t>W</w:t>
            </w:r>
          </w:p>
        </w:tc>
        <w:tc>
          <w:tcPr>
            <w:tcW w:w="2288" w:type="dxa"/>
            <w:noWrap w:val="0"/>
            <w:vAlign w:val="center"/>
          </w:tcPr>
          <w:p>
            <w:pPr>
              <w:adjustRightInd w:val="0"/>
              <w:snapToGrid w:val="0"/>
              <w:jc w:val="center"/>
              <w:rPr>
                <w:rFonts w:hint="default" w:eastAsia="宋体"/>
                <w:color w:val="FF0000"/>
                <w:sz w:val="21"/>
                <w:highlight w:val="none"/>
                <w:lang w:val="en-US" w:eastAsia="zh-CN"/>
              </w:rPr>
            </w:pPr>
            <w:r>
              <w:rPr>
                <w:rFonts w:hint="eastAsia" w:eastAsia="宋体"/>
                <w:color w:val="FF0000"/>
                <w:sz w:val="21"/>
                <w:highlight w:val="none"/>
                <w:lang w:val="en-US" w:eastAsia="zh-CN"/>
              </w:rPr>
              <w:t>360</w:t>
            </w:r>
          </w:p>
        </w:tc>
      </w:tr>
    </w:tbl>
    <w:p>
      <w:pPr>
        <w:pStyle w:val="45"/>
        <w:spacing w:line="440" w:lineRule="exact"/>
        <w:ind w:firstLine="480"/>
        <w:rPr>
          <w:rFonts w:ascii="Times New Roman" w:hAnsi="Times New Roman"/>
          <w:color w:val="000000" w:themeColor="text1"/>
          <w:sz w:val="24"/>
          <w:szCs w:val="24"/>
          <w:highlight w:val="none"/>
          <w14:textFill>
            <w14:solidFill>
              <w14:schemeClr w14:val="tx1"/>
            </w14:solidFill>
          </w14:textFill>
        </w:rPr>
      </w:pPr>
      <w:r>
        <w:rPr>
          <w:rFonts w:hint="eastAsia" w:hAnsi="宋体"/>
          <w:color w:val="FF0000"/>
          <w:sz w:val="24"/>
          <w:szCs w:val="24"/>
          <w:highlight w:val="none"/>
          <w:lang w:eastAsia="zh-CN"/>
        </w:rPr>
        <w:t>加油站</w:t>
      </w:r>
      <w:r>
        <w:rPr>
          <w:rFonts w:hint="eastAsia" w:ascii="Times New Roman" w:hAnsi="Times New Roman"/>
          <w:color w:val="000000" w:themeColor="text1"/>
          <w:sz w:val="24"/>
          <w:szCs w:val="24"/>
          <w:highlight w:val="none"/>
          <w14:textFill>
            <w14:solidFill>
              <w14:schemeClr w14:val="tx1"/>
            </w14:solidFill>
          </w14:textFill>
        </w:rPr>
        <w:t>周边500米范围内人口大于</w:t>
      </w:r>
      <w:r>
        <w:rPr>
          <w:rFonts w:ascii="Times New Roman" w:hAnsi="Times New Roman"/>
          <w:color w:val="000000" w:themeColor="text1"/>
          <w:sz w:val="24"/>
          <w:szCs w:val="24"/>
          <w:highlight w:val="none"/>
          <w14:textFill>
            <w14:solidFill>
              <w14:schemeClr w14:val="tx1"/>
            </w14:solidFill>
          </w14:textFill>
        </w:rPr>
        <w:t>1000</w:t>
      </w:r>
      <w:r>
        <w:rPr>
          <w:rFonts w:hint="eastAsia" w:ascii="Times New Roman" w:hAnsi="Times New Roman"/>
          <w:color w:val="000000" w:themeColor="text1"/>
          <w:sz w:val="24"/>
          <w:szCs w:val="24"/>
          <w:highlight w:val="none"/>
          <w14:textFill>
            <w14:solidFill>
              <w14:schemeClr w14:val="tx1"/>
            </w14:solidFill>
          </w14:textFill>
        </w:rPr>
        <w:t>人，因此</w:t>
      </w:r>
      <w:r>
        <w:rPr>
          <w:rFonts w:ascii="Times New Roman" w:hAnsi="Times New Roman"/>
          <w:color w:val="000000" w:themeColor="text1"/>
          <w:sz w:val="24"/>
          <w:szCs w:val="24"/>
          <w:highlight w:val="none"/>
          <w14:textFill>
            <w14:solidFill>
              <w14:schemeClr w14:val="tx1"/>
            </w14:solidFill>
          </w14:textFill>
        </w:rPr>
        <w:t>企业大气环境风险受体敏感程度属于E1类别</w:t>
      </w:r>
      <w:r>
        <w:rPr>
          <w:rFonts w:hint="eastAsia" w:ascii="Times New Roman" w:hAnsi="Times New Roman"/>
          <w:color w:val="000000" w:themeColor="text1"/>
          <w:sz w:val="24"/>
          <w:szCs w:val="24"/>
          <w:highlight w:val="none"/>
          <w14:textFill>
            <w14:solidFill>
              <w14:schemeClr w14:val="tx1"/>
            </w14:solidFill>
          </w14:textFill>
        </w:rPr>
        <w:t>。</w:t>
      </w:r>
    </w:p>
    <w:p>
      <w:pPr>
        <w:spacing w:line="440" w:lineRule="exact"/>
        <w:outlineLvl w:val="2"/>
        <w:rPr>
          <w:rFonts w:eastAsia="黑体"/>
          <w:b/>
          <w:snapToGrid w:val="0"/>
          <w:color w:val="000000" w:themeColor="text1"/>
          <w:spacing w:val="4"/>
          <w:kern w:val="0"/>
          <w:sz w:val="24"/>
          <w:szCs w:val="28"/>
          <w14:textFill>
            <w14:solidFill>
              <w14:schemeClr w14:val="tx1"/>
            </w14:solidFill>
          </w14:textFill>
        </w:rPr>
      </w:pPr>
      <w:bookmarkStart w:id="75" w:name="_Toc10105667"/>
      <w:bookmarkStart w:id="76" w:name="_Toc524953678"/>
      <w:bookmarkStart w:id="77" w:name="_Toc524953577"/>
      <w:r>
        <w:rPr>
          <w:rFonts w:hint="eastAsia" w:eastAsia="黑体"/>
          <w:b/>
          <w:snapToGrid w:val="0"/>
          <w:color w:val="000000" w:themeColor="text1"/>
          <w:spacing w:val="4"/>
          <w:kern w:val="0"/>
          <w:sz w:val="24"/>
          <w:szCs w:val="28"/>
          <w14:textFill>
            <w14:solidFill>
              <w14:schemeClr w14:val="tx1"/>
            </w14:solidFill>
          </w14:textFill>
        </w:rPr>
        <w:t xml:space="preserve">2.5.2 </w:t>
      </w:r>
      <w:bookmarkEnd w:id="71"/>
      <w:bookmarkEnd w:id="72"/>
      <w:bookmarkEnd w:id="73"/>
      <w:r>
        <w:rPr>
          <w:rFonts w:hint="eastAsia" w:eastAsia="黑体"/>
          <w:b/>
          <w:snapToGrid w:val="0"/>
          <w:color w:val="000000" w:themeColor="text1"/>
          <w:spacing w:val="4"/>
          <w:kern w:val="0"/>
          <w:sz w:val="24"/>
          <w:szCs w:val="28"/>
          <w14:textFill>
            <w14:solidFill>
              <w14:schemeClr w14:val="tx1"/>
            </w14:solidFill>
          </w14:textFill>
        </w:rPr>
        <w:t>水环境风险受体</w:t>
      </w:r>
      <w:bookmarkEnd w:id="74"/>
      <w:bookmarkEnd w:id="75"/>
      <w:bookmarkEnd w:id="76"/>
      <w:bookmarkEnd w:id="77"/>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hAnsi="宋体"/>
          <w:color w:val="FF0000"/>
          <w:sz w:val="24"/>
          <w:szCs w:val="24"/>
          <w:highlight w:val="none"/>
        </w:rPr>
      </w:pPr>
      <w:bookmarkStart w:id="78" w:name="_Hlk10107153"/>
      <w:bookmarkStart w:id="79" w:name="_Hlk11152345"/>
      <w:bookmarkStart w:id="80" w:name="_Toc484163982"/>
      <w:r>
        <w:rPr>
          <w:rFonts w:hAnsi="宋体"/>
          <w:color w:val="FF0000"/>
          <w:sz w:val="24"/>
          <w:szCs w:val="24"/>
          <w:highlight w:val="none"/>
        </w:rPr>
        <w:t>根据</w:t>
      </w:r>
      <w:r>
        <w:rPr>
          <w:rFonts w:hint="eastAsia" w:hAnsi="宋体"/>
          <w:color w:val="FF0000"/>
          <w:sz w:val="24"/>
          <w:szCs w:val="24"/>
          <w:highlight w:val="none"/>
          <w:lang w:eastAsia="zh-CN"/>
        </w:rPr>
        <w:t>中国石化销售股份有限公司江西南昌红谷滩石油分公司世纪星加油站</w:t>
      </w:r>
      <w:r>
        <w:rPr>
          <w:rFonts w:hAnsi="宋体"/>
          <w:color w:val="FF0000"/>
          <w:sz w:val="24"/>
          <w:szCs w:val="24"/>
          <w:highlight w:val="none"/>
        </w:rPr>
        <w:t>现状调查和查阅环评等相关资料，</w:t>
      </w:r>
      <w:r>
        <w:rPr>
          <w:rFonts w:hint="eastAsia" w:hAnsi="宋体"/>
          <w:color w:val="FF0000"/>
          <w:sz w:val="24"/>
          <w:szCs w:val="24"/>
          <w:highlight w:val="none"/>
        </w:rPr>
        <w:t>公司外排废水为冲洗废水和生活污水，生活污水经化粪池处理，冲洗废水经隔油沉淀池处理，产生的废水经预处理达《污水综合排放标准》（GB8978-1996）中三级标准后，一并进污水处理厂处理。</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color w:val="0000CC"/>
          <w:sz w:val="24"/>
          <w:szCs w:val="24"/>
        </w:rPr>
      </w:pPr>
      <w:r>
        <w:rPr>
          <w:rFonts w:hint="eastAsia" w:hAnsi="宋体"/>
          <w:color w:val="FF0000"/>
          <w:sz w:val="24"/>
          <w:szCs w:val="24"/>
          <w:highlight w:val="none"/>
          <w:lang w:eastAsia="zh-CN"/>
        </w:rPr>
        <w:t>中国石化销售股份有限公司江西南昌红谷滩石油分公司世纪星加油站</w:t>
      </w:r>
      <w:r>
        <w:rPr>
          <w:rFonts w:hint="eastAsia"/>
          <w:color w:val="FF0000"/>
          <w:sz w:val="24"/>
          <w:szCs w:val="24"/>
          <w:highlight w:val="none"/>
        </w:rPr>
        <w:t>周边无自然保护区、重要湿地等环境敏感点。</w:t>
      </w:r>
      <w:r>
        <w:rPr>
          <w:color w:val="FF0000"/>
          <w:sz w:val="24"/>
          <w:szCs w:val="24"/>
          <w:highlight w:val="none"/>
        </w:rPr>
        <w:t>本项目外排废水排入</w:t>
      </w:r>
      <w:r>
        <w:rPr>
          <w:rFonts w:hint="eastAsia" w:hAnsi="宋体"/>
          <w:color w:val="FF0000"/>
          <w:sz w:val="24"/>
          <w:szCs w:val="24"/>
          <w:highlight w:val="none"/>
        </w:rPr>
        <w:t>污水处理厂</w:t>
      </w:r>
      <w:r>
        <w:rPr>
          <w:color w:val="FF0000"/>
          <w:sz w:val="24"/>
          <w:szCs w:val="24"/>
          <w:highlight w:val="none"/>
        </w:rPr>
        <w:t>，不直接排入地表水体</w:t>
      </w:r>
      <w:r>
        <w:rPr>
          <w:rFonts w:hint="eastAsia"/>
          <w:color w:val="FF0000"/>
          <w:sz w:val="24"/>
          <w:szCs w:val="24"/>
          <w:highlight w:val="none"/>
        </w:rPr>
        <w:t>，不会对</w:t>
      </w:r>
      <w:r>
        <w:rPr>
          <w:rFonts w:hint="eastAsia"/>
          <w:color w:val="FF0000"/>
          <w:sz w:val="24"/>
          <w:szCs w:val="24"/>
          <w:highlight w:val="none"/>
          <w:lang w:eastAsia="zh-CN"/>
        </w:rPr>
        <w:t>地表水体</w:t>
      </w:r>
      <w:r>
        <w:rPr>
          <w:rFonts w:hint="eastAsia"/>
          <w:color w:val="FF0000"/>
          <w:sz w:val="24"/>
          <w:szCs w:val="24"/>
          <w:highlight w:val="none"/>
        </w:rPr>
        <w:t>产生明显影响</w:t>
      </w:r>
      <w:r>
        <w:rPr>
          <w:rFonts w:hint="eastAsia" w:hAnsi="宋体"/>
          <w:color w:val="FF0000"/>
          <w:sz w:val="24"/>
          <w:szCs w:val="24"/>
        </w:rPr>
        <w:t>。</w:t>
      </w:r>
      <w:bookmarkEnd w:id="78"/>
      <w:bookmarkEnd w:id="79"/>
    </w:p>
    <w:p>
      <w:pPr>
        <w:outlineLvl w:val="0"/>
        <w:rPr>
          <w:rFonts w:eastAsia="楷体"/>
          <w:b/>
          <w:snapToGrid w:val="0"/>
          <w:spacing w:val="4"/>
          <w:kern w:val="0"/>
          <w:sz w:val="30"/>
          <w:szCs w:val="32"/>
        </w:rPr>
      </w:pPr>
      <w:bookmarkStart w:id="81" w:name="_Toc10105668"/>
      <w:r>
        <w:rPr>
          <w:rFonts w:eastAsia="楷体"/>
          <w:b/>
          <w:snapToGrid w:val="0"/>
          <w:spacing w:val="4"/>
          <w:kern w:val="0"/>
          <w:sz w:val="30"/>
          <w:szCs w:val="32"/>
        </w:rPr>
        <w:t>3</w:t>
      </w:r>
      <w:r>
        <w:rPr>
          <w:rFonts w:hint="eastAsia" w:eastAsia="楷体"/>
          <w:b/>
          <w:snapToGrid w:val="0"/>
          <w:spacing w:val="4"/>
          <w:kern w:val="0"/>
          <w:sz w:val="30"/>
          <w:szCs w:val="32"/>
        </w:rPr>
        <w:t xml:space="preserve"> </w:t>
      </w:r>
      <w:r>
        <w:rPr>
          <w:rFonts w:eastAsia="楷体"/>
          <w:b/>
          <w:snapToGrid w:val="0"/>
          <w:spacing w:val="4"/>
          <w:kern w:val="0"/>
          <w:sz w:val="30"/>
          <w:szCs w:val="32"/>
        </w:rPr>
        <w:t>环境风险分析</w:t>
      </w:r>
      <w:bookmarkEnd w:id="80"/>
      <w:bookmarkEnd w:id="81"/>
    </w:p>
    <w:p>
      <w:pPr>
        <w:spacing w:before="60" w:after="60" w:line="500" w:lineRule="exact"/>
        <w:outlineLvl w:val="1"/>
        <w:rPr>
          <w:rFonts w:eastAsia="黑体"/>
          <w:b/>
          <w:snapToGrid w:val="0"/>
          <w:spacing w:val="4"/>
          <w:kern w:val="0"/>
          <w:sz w:val="28"/>
          <w:szCs w:val="30"/>
        </w:rPr>
      </w:pPr>
      <w:bookmarkStart w:id="82" w:name="_Toc213578933"/>
      <w:bookmarkStart w:id="83" w:name="_Toc186202070"/>
      <w:bookmarkStart w:id="84" w:name="_Toc356381043"/>
      <w:bookmarkStart w:id="85" w:name="_Toc186202166"/>
      <w:bookmarkStart w:id="86" w:name="_Toc484163983"/>
      <w:bookmarkStart w:id="87" w:name="_Toc10105669"/>
      <w:bookmarkStart w:id="88" w:name="_Toc390942490"/>
      <w:r>
        <w:rPr>
          <w:rFonts w:eastAsia="黑体"/>
          <w:b/>
          <w:snapToGrid w:val="0"/>
          <w:spacing w:val="4"/>
          <w:kern w:val="0"/>
          <w:sz w:val="28"/>
          <w:szCs w:val="30"/>
        </w:rPr>
        <w:t>3.1环境风险源识别</w:t>
      </w:r>
      <w:bookmarkEnd w:id="82"/>
      <w:bookmarkEnd w:id="83"/>
      <w:bookmarkEnd w:id="84"/>
      <w:bookmarkEnd w:id="85"/>
      <w:r>
        <w:rPr>
          <w:rFonts w:eastAsia="黑体"/>
          <w:b/>
          <w:snapToGrid w:val="0"/>
          <w:spacing w:val="4"/>
          <w:kern w:val="0"/>
          <w:sz w:val="28"/>
          <w:szCs w:val="30"/>
        </w:rPr>
        <w:t>及危险性评估</w:t>
      </w:r>
      <w:bookmarkEnd w:id="86"/>
      <w:bookmarkEnd w:id="87"/>
      <w:bookmarkEnd w:id="88"/>
    </w:p>
    <w:p>
      <w:pPr>
        <w:spacing w:line="440" w:lineRule="exact"/>
        <w:outlineLvl w:val="2"/>
        <w:rPr>
          <w:rFonts w:eastAsia="黑体"/>
          <w:b/>
          <w:snapToGrid w:val="0"/>
          <w:spacing w:val="4"/>
          <w:kern w:val="0"/>
          <w:sz w:val="24"/>
          <w:szCs w:val="28"/>
        </w:rPr>
      </w:pPr>
      <w:bookmarkStart w:id="89" w:name="_Toc484163984"/>
      <w:bookmarkStart w:id="90" w:name="_Toc509302710"/>
      <w:bookmarkStart w:id="91" w:name="_Toc497226202"/>
      <w:bookmarkStart w:id="92" w:name="_Toc524953579"/>
      <w:bookmarkStart w:id="93" w:name="_Toc524953681"/>
      <w:bookmarkStart w:id="94" w:name="_Toc469746158"/>
      <w:bookmarkStart w:id="95" w:name="_Toc500487283"/>
      <w:bookmarkStart w:id="96" w:name="_Toc10105670"/>
      <w:bookmarkStart w:id="97" w:name="_Toc470161890"/>
      <w:r>
        <w:rPr>
          <w:rFonts w:eastAsia="黑体"/>
          <w:b/>
          <w:snapToGrid w:val="0"/>
          <w:spacing w:val="4"/>
          <w:kern w:val="0"/>
          <w:sz w:val="24"/>
          <w:szCs w:val="28"/>
        </w:rPr>
        <w:t>3.1.1物质环境风险识别</w:t>
      </w:r>
      <w:bookmarkEnd w:id="89"/>
      <w:bookmarkEnd w:id="90"/>
      <w:bookmarkEnd w:id="91"/>
      <w:bookmarkEnd w:id="92"/>
      <w:bookmarkEnd w:id="93"/>
      <w:bookmarkEnd w:id="94"/>
      <w:bookmarkEnd w:id="95"/>
      <w:bookmarkEnd w:id="96"/>
      <w:bookmarkEnd w:id="97"/>
    </w:p>
    <w:p>
      <w:pPr>
        <w:spacing w:line="480" w:lineRule="exact"/>
        <w:ind w:firstLine="480" w:firstLineChars="200"/>
        <w:rPr>
          <w:rFonts w:hAnsi="宋体"/>
          <w:sz w:val="24"/>
        </w:rPr>
      </w:pPr>
      <w:bookmarkStart w:id="98" w:name="_Toc509302711"/>
      <w:bookmarkStart w:id="99" w:name="_Toc497226203"/>
      <w:bookmarkStart w:id="100" w:name="_Toc500487284"/>
      <w:bookmarkStart w:id="101" w:name="_Toc484163985"/>
      <w:bookmarkStart w:id="102" w:name="_Toc336595883"/>
      <w:bookmarkStart w:id="103" w:name="_Toc336595404"/>
      <w:bookmarkStart w:id="104" w:name="_Toc336596926"/>
      <w:bookmarkStart w:id="105" w:name="_Toc336595768"/>
      <w:r>
        <w:rPr>
          <w:rFonts w:hint="eastAsia" w:hAnsi="宋体"/>
          <w:sz w:val="24"/>
        </w:rPr>
        <w:t>从企业运行过程中涉及的物</w:t>
      </w:r>
      <w:r>
        <w:rPr>
          <w:rFonts w:hint="eastAsia" w:asciiTheme="minorEastAsia" w:hAnsiTheme="minorEastAsia" w:eastAsiaTheme="minorEastAsia" w:cstheme="minorEastAsia"/>
          <w:sz w:val="24"/>
        </w:rPr>
        <w:t>质及“三废”污染物</w:t>
      </w:r>
      <w:r>
        <w:rPr>
          <w:rFonts w:hint="eastAsia" w:hAnsi="宋体"/>
          <w:sz w:val="24"/>
        </w:rPr>
        <w:t>产生</w:t>
      </w:r>
      <w:r>
        <w:rPr>
          <w:rFonts w:hAnsi="宋体"/>
          <w:sz w:val="24"/>
        </w:rPr>
        <w:t>等方面识别企业涉及的危险化学品、环境风险物质。</w:t>
      </w:r>
    </w:p>
    <w:p>
      <w:pPr>
        <w:spacing w:line="480" w:lineRule="exact"/>
        <w:ind w:firstLine="480" w:firstLineChars="200"/>
        <w:rPr>
          <w:rFonts w:hAnsi="宋体"/>
          <w:sz w:val="24"/>
        </w:rPr>
      </w:pPr>
      <w:r>
        <w:rPr>
          <w:color w:val="000000"/>
          <w:sz w:val="24"/>
        </w:rPr>
        <w:t>根据《</w:t>
      </w:r>
      <w:r>
        <w:rPr>
          <w:rFonts w:hint="eastAsia"/>
          <w:color w:val="000000"/>
          <w:sz w:val="24"/>
        </w:rPr>
        <w:t>企业突发环境事件风险分级方法</w:t>
      </w:r>
      <w:r>
        <w:rPr>
          <w:color w:val="000000"/>
          <w:sz w:val="24"/>
        </w:rPr>
        <w:t>》附录</w:t>
      </w:r>
      <w:r>
        <w:rPr>
          <w:rFonts w:hint="eastAsia"/>
          <w:color w:val="000000"/>
          <w:sz w:val="24"/>
        </w:rPr>
        <w:t>A</w:t>
      </w:r>
      <w:r>
        <w:rPr>
          <w:color w:val="000000"/>
          <w:sz w:val="24"/>
        </w:rPr>
        <w:t>“突发环境事件风险物质及临界量清单”，企业</w:t>
      </w:r>
      <w:r>
        <w:rPr>
          <w:rFonts w:hint="eastAsia" w:hAnsi="宋体"/>
          <w:sz w:val="24"/>
        </w:rPr>
        <w:t>涉及的环境风险物质见下表：</w:t>
      </w:r>
    </w:p>
    <w:p>
      <w:pPr>
        <w:spacing w:line="440" w:lineRule="exact"/>
        <w:jc w:val="center"/>
        <w:rPr>
          <w:b/>
        </w:rPr>
      </w:pPr>
      <w:bookmarkStart w:id="106" w:name="_Toc524953682"/>
      <w:bookmarkStart w:id="107" w:name="_Toc524953580"/>
      <w:r>
        <w:rPr>
          <w:b/>
        </w:rPr>
        <w:t>表3.1-1  企业环境风险物质情况一览表</w:t>
      </w:r>
    </w:p>
    <w:tbl>
      <w:tblPr>
        <w:tblStyle w:val="31"/>
        <w:tblW w:w="85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1124"/>
        <w:gridCol w:w="1698"/>
        <w:gridCol w:w="1273"/>
        <w:gridCol w:w="990"/>
        <w:gridCol w:w="2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81" w:type="dxa"/>
            <w:noWrap w:val="0"/>
            <w:vAlign w:val="center"/>
          </w:tcPr>
          <w:p>
            <w:pPr>
              <w:pStyle w:val="13"/>
              <w:adjustRightInd w:val="0"/>
              <w:snapToGrid w:val="0"/>
              <w:spacing w:after="0" w:line="320" w:lineRule="exact"/>
              <w:ind w:left="0" w:leftChars="0"/>
              <w:jc w:val="center"/>
              <w:rPr>
                <w:rFonts w:ascii="Times New Roman" w:hAnsi="Calibri"/>
                <w:snapToGrid w:val="0"/>
                <w:color w:val="000000"/>
                <w:spacing w:val="0"/>
                <w:sz w:val="21"/>
                <w:szCs w:val="21"/>
                <w:highlight w:val="none"/>
                <w:lang w:val="en-US" w:eastAsia="zh-CN"/>
              </w:rPr>
            </w:pPr>
            <w:r>
              <w:rPr>
                <w:rFonts w:ascii="Times New Roman" w:hAnsi="Calibri"/>
                <w:snapToGrid w:val="0"/>
                <w:color w:val="000000"/>
                <w:spacing w:val="0"/>
                <w:sz w:val="21"/>
                <w:szCs w:val="21"/>
                <w:highlight w:val="none"/>
                <w:lang w:val="en-US" w:eastAsia="zh-CN"/>
              </w:rPr>
              <w:t>序号</w:t>
            </w:r>
          </w:p>
        </w:tc>
        <w:tc>
          <w:tcPr>
            <w:tcW w:w="1124" w:type="dxa"/>
            <w:noWrap w:val="0"/>
            <w:vAlign w:val="center"/>
          </w:tcPr>
          <w:p>
            <w:pPr>
              <w:pStyle w:val="13"/>
              <w:adjustRightInd w:val="0"/>
              <w:snapToGrid w:val="0"/>
              <w:spacing w:after="0" w:line="320" w:lineRule="exact"/>
              <w:ind w:left="0" w:leftChars="0"/>
              <w:jc w:val="center"/>
              <w:rPr>
                <w:rFonts w:ascii="Times New Roman" w:hAnsi="Calibri"/>
                <w:snapToGrid w:val="0"/>
                <w:color w:val="000000"/>
                <w:spacing w:val="0"/>
                <w:sz w:val="21"/>
                <w:szCs w:val="21"/>
                <w:highlight w:val="none"/>
                <w:lang w:val="en-US" w:eastAsia="zh-CN"/>
              </w:rPr>
            </w:pPr>
            <w:r>
              <w:rPr>
                <w:rFonts w:ascii="Times New Roman" w:hAnsi="Calibri"/>
                <w:snapToGrid w:val="0"/>
                <w:color w:val="000000"/>
                <w:spacing w:val="0"/>
                <w:sz w:val="21"/>
                <w:szCs w:val="21"/>
                <w:highlight w:val="none"/>
                <w:lang w:val="en-US" w:eastAsia="zh-CN"/>
              </w:rPr>
              <w:t>物质名称</w:t>
            </w:r>
          </w:p>
        </w:tc>
        <w:tc>
          <w:tcPr>
            <w:tcW w:w="1698" w:type="dxa"/>
            <w:noWrap w:val="0"/>
            <w:vAlign w:val="center"/>
          </w:tcPr>
          <w:p>
            <w:pPr>
              <w:pStyle w:val="13"/>
              <w:adjustRightInd w:val="0"/>
              <w:snapToGrid w:val="0"/>
              <w:spacing w:after="0" w:line="320" w:lineRule="exact"/>
              <w:ind w:left="0" w:leftChars="0"/>
              <w:jc w:val="center"/>
              <w:rPr>
                <w:rFonts w:ascii="Times New Roman" w:hAnsi="Calibri"/>
                <w:snapToGrid w:val="0"/>
                <w:color w:val="000000"/>
                <w:spacing w:val="0"/>
                <w:sz w:val="21"/>
                <w:szCs w:val="21"/>
                <w:highlight w:val="none"/>
                <w:lang w:val="en-US" w:eastAsia="zh-CN"/>
              </w:rPr>
            </w:pPr>
            <w:r>
              <w:rPr>
                <w:rFonts w:hint="eastAsia" w:ascii="Times New Roman" w:hAnsi="Calibri"/>
                <w:snapToGrid w:val="0"/>
                <w:color w:val="000000"/>
                <w:spacing w:val="0"/>
                <w:sz w:val="21"/>
                <w:szCs w:val="21"/>
                <w:highlight w:val="none"/>
                <w:lang w:val="en-US" w:eastAsia="zh-CN"/>
              </w:rPr>
              <w:t>最大存在量</w:t>
            </w:r>
            <w:r>
              <w:rPr>
                <w:rFonts w:ascii="Times New Roman" w:hAnsi="Calibri"/>
                <w:snapToGrid w:val="0"/>
                <w:color w:val="000000"/>
                <w:spacing w:val="0"/>
                <w:sz w:val="21"/>
                <w:szCs w:val="21"/>
                <w:highlight w:val="none"/>
                <w:lang w:val="en-US" w:eastAsia="zh-CN"/>
              </w:rPr>
              <w:t>（t）</w:t>
            </w:r>
          </w:p>
        </w:tc>
        <w:tc>
          <w:tcPr>
            <w:tcW w:w="1273" w:type="dxa"/>
            <w:noWrap w:val="0"/>
            <w:vAlign w:val="center"/>
          </w:tcPr>
          <w:p>
            <w:pPr>
              <w:pStyle w:val="13"/>
              <w:adjustRightInd w:val="0"/>
              <w:snapToGrid w:val="0"/>
              <w:spacing w:after="0" w:line="320" w:lineRule="exact"/>
              <w:ind w:left="0" w:leftChars="0"/>
              <w:jc w:val="center"/>
              <w:rPr>
                <w:rFonts w:ascii="Times New Roman" w:hAnsi="Calibri"/>
                <w:snapToGrid w:val="0"/>
                <w:color w:val="000000"/>
                <w:spacing w:val="0"/>
                <w:sz w:val="21"/>
                <w:szCs w:val="21"/>
                <w:highlight w:val="none"/>
                <w:lang w:val="en-US" w:eastAsia="zh-CN"/>
              </w:rPr>
            </w:pPr>
            <w:r>
              <w:rPr>
                <w:rFonts w:ascii="Times New Roman" w:hAnsi="Calibri"/>
                <w:snapToGrid w:val="0"/>
                <w:color w:val="000000"/>
                <w:spacing w:val="0"/>
                <w:sz w:val="21"/>
                <w:szCs w:val="21"/>
                <w:highlight w:val="none"/>
                <w:lang w:val="en-US" w:eastAsia="zh-CN"/>
              </w:rPr>
              <w:t>临界量（t）</w:t>
            </w:r>
          </w:p>
        </w:tc>
        <w:tc>
          <w:tcPr>
            <w:tcW w:w="990" w:type="dxa"/>
            <w:noWrap w:val="0"/>
            <w:vAlign w:val="center"/>
          </w:tcPr>
          <w:p>
            <w:pPr>
              <w:pStyle w:val="13"/>
              <w:adjustRightInd w:val="0"/>
              <w:snapToGrid w:val="0"/>
              <w:spacing w:after="0" w:line="320" w:lineRule="exact"/>
              <w:ind w:left="0" w:leftChars="0"/>
              <w:jc w:val="center"/>
              <w:rPr>
                <w:rFonts w:ascii="Times New Roman" w:hAnsi="Calibri"/>
                <w:snapToGrid w:val="0"/>
                <w:color w:val="000000"/>
                <w:spacing w:val="0"/>
                <w:sz w:val="21"/>
                <w:szCs w:val="21"/>
                <w:highlight w:val="none"/>
                <w:lang w:val="en-US" w:eastAsia="zh-CN"/>
              </w:rPr>
            </w:pPr>
            <w:r>
              <w:rPr>
                <w:rFonts w:ascii="Times New Roman" w:hAnsi="Calibri"/>
                <w:snapToGrid w:val="0"/>
                <w:color w:val="000000"/>
                <w:spacing w:val="0"/>
                <w:sz w:val="21"/>
                <w:szCs w:val="21"/>
                <w:highlight w:val="none"/>
                <w:lang w:val="en-US" w:eastAsia="zh-CN"/>
              </w:rPr>
              <w:t>Qi</w:t>
            </w:r>
          </w:p>
        </w:tc>
        <w:tc>
          <w:tcPr>
            <w:tcW w:w="2738" w:type="dxa"/>
            <w:noWrap w:val="0"/>
            <w:vAlign w:val="center"/>
          </w:tcPr>
          <w:p>
            <w:pPr>
              <w:pStyle w:val="13"/>
              <w:adjustRightInd w:val="0"/>
              <w:snapToGrid w:val="0"/>
              <w:spacing w:after="0" w:line="320" w:lineRule="exact"/>
              <w:ind w:left="0" w:leftChars="0"/>
              <w:jc w:val="center"/>
              <w:rPr>
                <w:rFonts w:ascii="Times New Roman" w:hAnsi="Calibri"/>
                <w:snapToGrid w:val="0"/>
                <w:color w:val="000000"/>
                <w:spacing w:val="0"/>
                <w:sz w:val="21"/>
                <w:szCs w:val="21"/>
                <w:highlight w:val="none"/>
                <w:lang w:val="en-US" w:eastAsia="zh-CN"/>
              </w:rPr>
            </w:pPr>
            <w:r>
              <w:rPr>
                <w:rFonts w:hint="eastAsia" w:ascii="Times New Roman" w:hAnsi="Calibri"/>
                <w:snapToGrid w:val="0"/>
                <w:color w:val="000000"/>
                <w:spacing w:val="0"/>
                <w:sz w:val="21"/>
                <w:szCs w:val="21"/>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81" w:type="dxa"/>
            <w:noWrap w:val="0"/>
            <w:vAlign w:val="center"/>
          </w:tcPr>
          <w:p>
            <w:pPr>
              <w:pStyle w:val="13"/>
              <w:adjustRightInd w:val="0"/>
              <w:snapToGrid w:val="0"/>
              <w:spacing w:after="0" w:line="320" w:lineRule="exact"/>
              <w:ind w:left="0" w:leftChars="0"/>
              <w:jc w:val="center"/>
              <w:rPr>
                <w:rFonts w:hint="eastAsia" w:ascii="Times New Roman" w:hAnsi="Calibri"/>
                <w:snapToGrid w:val="0"/>
                <w:color w:val="000000"/>
                <w:spacing w:val="0"/>
                <w:sz w:val="21"/>
                <w:szCs w:val="21"/>
                <w:highlight w:val="none"/>
                <w:lang w:val="en-US" w:eastAsia="zh-CN"/>
              </w:rPr>
            </w:pPr>
            <w:r>
              <w:rPr>
                <w:rFonts w:hint="eastAsia" w:ascii="Times New Roman" w:hAnsi="Calibri"/>
                <w:snapToGrid w:val="0"/>
                <w:color w:val="000000"/>
                <w:spacing w:val="0"/>
                <w:sz w:val="21"/>
                <w:szCs w:val="21"/>
                <w:highlight w:val="none"/>
                <w:lang w:val="en-US" w:eastAsia="zh-CN"/>
              </w:rPr>
              <w:t>1</w:t>
            </w:r>
          </w:p>
        </w:tc>
        <w:tc>
          <w:tcPr>
            <w:tcW w:w="1124" w:type="dxa"/>
            <w:noWrap w:val="0"/>
            <w:vAlign w:val="center"/>
          </w:tcPr>
          <w:p>
            <w:pPr>
              <w:adjustRightInd w:val="0"/>
              <w:snapToGrid w:val="0"/>
              <w:spacing w:line="320" w:lineRule="exact"/>
              <w:jc w:val="center"/>
              <w:rPr>
                <w:color w:val="000000"/>
                <w:sz w:val="21"/>
                <w:highlight w:val="none"/>
              </w:rPr>
            </w:pPr>
            <w:r>
              <w:rPr>
                <w:rFonts w:hint="eastAsia"/>
                <w:color w:val="000000"/>
                <w:sz w:val="21"/>
                <w:highlight w:val="none"/>
              </w:rPr>
              <w:t>汽油</w:t>
            </w:r>
          </w:p>
        </w:tc>
        <w:tc>
          <w:tcPr>
            <w:tcW w:w="1698" w:type="dxa"/>
            <w:noWrap w:val="0"/>
            <w:vAlign w:val="center"/>
          </w:tcPr>
          <w:p>
            <w:pPr>
              <w:pStyle w:val="13"/>
              <w:adjustRightInd w:val="0"/>
              <w:snapToGrid w:val="0"/>
              <w:spacing w:after="0" w:line="320" w:lineRule="exact"/>
              <w:ind w:left="0" w:leftChars="0"/>
              <w:jc w:val="center"/>
              <w:rPr>
                <w:rFonts w:hint="default" w:ascii="Times New Roman" w:cs="宋体"/>
                <w:snapToGrid w:val="0"/>
                <w:color w:val="FF0000"/>
                <w:spacing w:val="4"/>
                <w:sz w:val="21"/>
                <w:szCs w:val="20"/>
                <w:highlight w:val="none"/>
                <w:lang w:val="en-US" w:eastAsia="zh-CN"/>
              </w:rPr>
            </w:pPr>
            <w:r>
              <w:rPr>
                <w:rFonts w:hint="eastAsia" w:ascii="Times New Roman" w:cs="宋体"/>
                <w:snapToGrid w:val="0"/>
                <w:color w:val="FF0000"/>
                <w:spacing w:val="4"/>
                <w:sz w:val="21"/>
                <w:szCs w:val="20"/>
                <w:highlight w:val="none"/>
                <w:lang w:val="en-US" w:eastAsia="zh-CN"/>
              </w:rPr>
              <w:t>87.6</w:t>
            </w:r>
          </w:p>
        </w:tc>
        <w:tc>
          <w:tcPr>
            <w:tcW w:w="1273" w:type="dxa"/>
            <w:noWrap w:val="0"/>
            <w:vAlign w:val="center"/>
          </w:tcPr>
          <w:p>
            <w:pPr>
              <w:pStyle w:val="13"/>
              <w:adjustRightInd w:val="0"/>
              <w:snapToGrid w:val="0"/>
              <w:spacing w:after="0" w:line="320" w:lineRule="exact"/>
              <w:ind w:left="0" w:leftChars="0"/>
              <w:jc w:val="center"/>
              <w:rPr>
                <w:rFonts w:hint="eastAsia" w:ascii="Times New Roman" w:hAnsi="Calibri"/>
                <w:snapToGrid w:val="0"/>
                <w:color w:val="FF0000"/>
                <w:spacing w:val="0"/>
                <w:sz w:val="21"/>
                <w:szCs w:val="21"/>
                <w:highlight w:val="none"/>
                <w:lang w:val="en-US" w:eastAsia="zh-CN"/>
              </w:rPr>
            </w:pPr>
            <w:r>
              <w:rPr>
                <w:rFonts w:hint="eastAsia" w:ascii="Times New Roman"/>
                <w:color w:val="FF0000"/>
                <w:spacing w:val="0"/>
                <w:sz w:val="21"/>
                <w:highlight w:val="none"/>
                <w:lang w:val="en-US" w:eastAsia="zh-CN"/>
              </w:rPr>
              <w:t>2500</w:t>
            </w:r>
          </w:p>
        </w:tc>
        <w:tc>
          <w:tcPr>
            <w:tcW w:w="990" w:type="dxa"/>
            <w:noWrap w:val="0"/>
            <w:vAlign w:val="center"/>
          </w:tcPr>
          <w:p>
            <w:pPr>
              <w:pStyle w:val="13"/>
              <w:adjustRightInd w:val="0"/>
              <w:snapToGrid w:val="0"/>
              <w:spacing w:after="0" w:line="320" w:lineRule="exact"/>
              <w:ind w:left="0" w:leftChars="0"/>
              <w:jc w:val="center"/>
              <w:rPr>
                <w:rFonts w:hint="default" w:ascii="Times New Roman" w:hAnsi="Calibri"/>
                <w:snapToGrid w:val="0"/>
                <w:color w:val="FF0000"/>
                <w:spacing w:val="0"/>
                <w:sz w:val="21"/>
                <w:szCs w:val="21"/>
                <w:highlight w:val="none"/>
                <w:lang w:val="en-US" w:eastAsia="zh-CN"/>
              </w:rPr>
            </w:pPr>
            <w:r>
              <w:rPr>
                <w:rFonts w:hint="eastAsia" w:ascii="Times New Roman" w:hAnsi="Calibri"/>
                <w:snapToGrid w:val="0"/>
                <w:color w:val="FF0000"/>
                <w:spacing w:val="0"/>
                <w:sz w:val="21"/>
                <w:szCs w:val="21"/>
                <w:highlight w:val="none"/>
                <w:lang w:val="en-US" w:eastAsia="zh-CN"/>
              </w:rPr>
              <w:t>0.035</w:t>
            </w:r>
          </w:p>
        </w:tc>
        <w:tc>
          <w:tcPr>
            <w:tcW w:w="2738" w:type="dxa"/>
            <w:noWrap w:val="0"/>
            <w:vAlign w:val="center"/>
          </w:tcPr>
          <w:p>
            <w:pPr>
              <w:pStyle w:val="13"/>
              <w:adjustRightInd w:val="0"/>
              <w:snapToGrid w:val="0"/>
              <w:spacing w:after="0" w:line="320" w:lineRule="exact"/>
              <w:ind w:left="0" w:leftChars="0"/>
              <w:jc w:val="center"/>
              <w:rPr>
                <w:rFonts w:hint="eastAsia" w:ascii="Times New Roman" w:hAnsi="Calibri"/>
                <w:snapToGrid w:val="0"/>
                <w:color w:val="000000"/>
                <w:spacing w:val="4"/>
                <w:sz w:val="21"/>
                <w:szCs w:val="21"/>
                <w:highlight w:val="none"/>
                <w:lang w:val="en-US" w:eastAsia="zh-CN"/>
              </w:rPr>
            </w:pPr>
            <w:r>
              <w:rPr>
                <w:rFonts w:hint="eastAsia" w:ascii="Times New Roman"/>
                <w:snapToGrid w:val="0"/>
                <w:color w:val="000000"/>
                <w:spacing w:val="4"/>
                <w:sz w:val="21"/>
                <w:szCs w:val="21"/>
                <w:highlight w:val="none"/>
                <w:lang w:val="en-US" w:eastAsia="zh-CN"/>
              </w:rPr>
              <w:t>对应分级方法附录A第八部分序号392油类物质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4776" w:type="dxa"/>
            <w:gridSpan w:val="4"/>
            <w:noWrap w:val="0"/>
            <w:vAlign w:val="center"/>
          </w:tcPr>
          <w:p>
            <w:pPr>
              <w:pStyle w:val="13"/>
              <w:adjustRightInd w:val="0"/>
              <w:snapToGrid w:val="0"/>
              <w:spacing w:after="0" w:line="320" w:lineRule="exact"/>
              <w:ind w:left="0" w:leftChars="0"/>
              <w:jc w:val="center"/>
              <w:rPr>
                <w:rFonts w:hint="eastAsia" w:ascii="Times New Roman" w:hAnsi="Calibri"/>
                <w:snapToGrid w:val="0"/>
                <w:color w:val="000000"/>
                <w:spacing w:val="0"/>
                <w:sz w:val="21"/>
                <w:szCs w:val="21"/>
                <w:highlight w:val="none"/>
                <w:lang w:val="en-US" w:eastAsia="zh-CN"/>
              </w:rPr>
            </w:pPr>
            <w:r>
              <w:rPr>
                <w:rFonts w:hint="eastAsia" w:ascii="Times New Roman" w:hAnsi="Calibri"/>
                <w:snapToGrid w:val="0"/>
                <w:color w:val="000000"/>
                <w:spacing w:val="0"/>
                <w:sz w:val="21"/>
                <w:szCs w:val="21"/>
                <w:highlight w:val="none"/>
                <w:lang w:val="en-US" w:eastAsia="zh-CN"/>
              </w:rPr>
              <w:t>合计</w:t>
            </w:r>
          </w:p>
        </w:tc>
        <w:tc>
          <w:tcPr>
            <w:tcW w:w="990" w:type="dxa"/>
            <w:noWrap w:val="0"/>
            <w:vAlign w:val="center"/>
          </w:tcPr>
          <w:p>
            <w:pPr>
              <w:pStyle w:val="13"/>
              <w:adjustRightInd w:val="0"/>
              <w:snapToGrid w:val="0"/>
              <w:spacing w:after="0" w:line="320" w:lineRule="exact"/>
              <w:ind w:left="0" w:leftChars="0"/>
              <w:jc w:val="center"/>
              <w:rPr>
                <w:rFonts w:hint="default" w:ascii="Times New Roman" w:hAnsi="Calibri"/>
                <w:snapToGrid w:val="0"/>
                <w:color w:val="FF0000"/>
                <w:spacing w:val="0"/>
                <w:sz w:val="21"/>
                <w:szCs w:val="21"/>
                <w:highlight w:val="none"/>
                <w:lang w:val="en-US" w:eastAsia="zh-CN"/>
              </w:rPr>
            </w:pPr>
            <w:r>
              <w:rPr>
                <w:rFonts w:hint="eastAsia" w:ascii="Times New Roman" w:hAnsi="Calibri"/>
                <w:snapToGrid w:val="0"/>
                <w:color w:val="FF0000"/>
                <w:spacing w:val="0"/>
                <w:sz w:val="21"/>
                <w:szCs w:val="21"/>
                <w:highlight w:val="none"/>
                <w:lang w:val="en-US" w:eastAsia="zh-CN"/>
              </w:rPr>
              <w:t>0.035</w:t>
            </w:r>
          </w:p>
        </w:tc>
        <w:tc>
          <w:tcPr>
            <w:tcW w:w="2738" w:type="dxa"/>
            <w:noWrap w:val="0"/>
            <w:vAlign w:val="center"/>
          </w:tcPr>
          <w:p>
            <w:pPr>
              <w:pStyle w:val="13"/>
              <w:adjustRightInd w:val="0"/>
              <w:snapToGrid w:val="0"/>
              <w:spacing w:after="0" w:line="320" w:lineRule="exact"/>
              <w:ind w:left="0" w:leftChars="0"/>
              <w:jc w:val="center"/>
              <w:rPr>
                <w:rFonts w:hint="eastAsia" w:ascii="Times New Roman" w:hAnsi="Calibri"/>
                <w:snapToGrid w:val="0"/>
                <w:color w:val="000000"/>
                <w:spacing w:val="4"/>
                <w:sz w:val="21"/>
                <w:szCs w:val="21"/>
                <w:highlight w:val="none"/>
                <w:lang w:val="en-US" w:eastAsia="zh-CN"/>
              </w:rPr>
            </w:pPr>
            <w:r>
              <w:rPr>
                <w:rFonts w:hint="eastAsia" w:ascii="Times New Roman" w:hAnsi="Calibri"/>
                <w:snapToGrid w:val="0"/>
                <w:color w:val="000000"/>
                <w:spacing w:val="4"/>
                <w:sz w:val="21"/>
                <w:szCs w:val="21"/>
                <w:highlight w:val="none"/>
                <w:lang w:val="en-US" w:eastAsia="zh-CN"/>
              </w:rPr>
              <w:t>——</w:t>
            </w:r>
          </w:p>
        </w:tc>
      </w:tr>
    </w:tbl>
    <w:p>
      <w:pPr>
        <w:pStyle w:val="13"/>
        <w:spacing w:after="0" w:line="480" w:lineRule="exact"/>
        <w:ind w:left="0" w:leftChars="0" w:firstLine="480" w:firstLineChars="200"/>
        <w:jc w:val="left"/>
        <w:rPr>
          <w:rFonts w:hint="eastAsia"/>
          <w:color w:val="000000"/>
          <w:sz w:val="24"/>
        </w:rPr>
      </w:pPr>
    </w:p>
    <w:p>
      <w:pPr>
        <w:pStyle w:val="13"/>
        <w:spacing w:after="0" w:line="480" w:lineRule="exact"/>
        <w:ind w:left="0" w:leftChars="0" w:firstLine="480" w:firstLineChars="200"/>
        <w:jc w:val="left"/>
        <w:rPr>
          <w:color w:val="000000"/>
          <w:sz w:val="24"/>
        </w:rPr>
      </w:pPr>
      <w:r>
        <w:rPr>
          <w:rFonts w:hint="eastAsia"/>
          <w:color w:val="000000"/>
          <w:sz w:val="24"/>
        </w:rPr>
        <w:t>危险废物产生情况见下表：</w:t>
      </w:r>
    </w:p>
    <w:p>
      <w:pPr>
        <w:pStyle w:val="13"/>
        <w:spacing w:after="0" w:line="500" w:lineRule="exact"/>
        <w:ind w:left="0" w:leftChars="0"/>
        <w:jc w:val="center"/>
        <w:rPr>
          <w:b/>
          <w:color w:val="000000"/>
        </w:rPr>
      </w:pPr>
      <w:r>
        <w:rPr>
          <w:rFonts w:hint="eastAsia"/>
          <w:b/>
          <w:color w:val="000000"/>
        </w:rPr>
        <w:t>表</w:t>
      </w:r>
      <w:r>
        <w:rPr>
          <w:b/>
          <w:color w:val="000000"/>
        </w:rPr>
        <w:t xml:space="preserve">3.1-2  </w:t>
      </w:r>
      <w:r>
        <w:rPr>
          <w:rFonts w:hint="eastAsia"/>
          <w:b/>
          <w:color w:val="000000"/>
        </w:rPr>
        <w:t>企业危险废物</w:t>
      </w:r>
      <w:r>
        <w:rPr>
          <w:b/>
          <w:color w:val="000000"/>
        </w:rPr>
        <w:t>情况一览表</w:t>
      </w:r>
    </w:p>
    <w:tbl>
      <w:tblPr>
        <w:tblStyle w:val="31"/>
        <w:tblW w:w="8504" w:type="dxa"/>
        <w:jc w:val="center"/>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08"/>
        <w:gridCol w:w="1781"/>
        <w:gridCol w:w="809"/>
        <w:gridCol w:w="1883"/>
        <w:gridCol w:w="1199"/>
        <w:gridCol w:w="1050"/>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blHeader/>
          <w:jc w:val="center"/>
        </w:trPr>
        <w:tc>
          <w:tcPr>
            <w:tcW w:w="508" w:type="dxa"/>
            <w:noWrap w:val="0"/>
            <w:vAlign w:val="center"/>
          </w:tcPr>
          <w:p>
            <w:pPr>
              <w:spacing w:line="320" w:lineRule="exact"/>
              <w:jc w:val="center"/>
              <w:rPr>
                <w:b/>
                <w:color w:val="000000"/>
                <w:sz w:val="21"/>
              </w:rPr>
            </w:pPr>
            <w:r>
              <w:rPr>
                <w:b/>
                <w:color w:val="000000"/>
                <w:sz w:val="21"/>
              </w:rPr>
              <w:t>序号</w:t>
            </w:r>
          </w:p>
        </w:tc>
        <w:tc>
          <w:tcPr>
            <w:tcW w:w="1781" w:type="dxa"/>
            <w:noWrap w:val="0"/>
            <w:vAlign w:val="center"/>
          </w:tcPr>
          <w:p>
            <w:pPr>
              <w:spacing w:line="320" w:lineRule="exact"/>
              <w:jc w:val="center"/>
              <w:rPr>
                <w:b/>
                <w:color w:val="000000"/>
                <w:sz w:val="21"/>
              </w:rPr>
            </w:pPr>
            <w:r>
              <w:rPr>
                <w:rFonts w:hAnsi="宋体"/>
                <w:b/>
                <w:color w:val="000000"/>
                <w:sz w:val="21"/>
              </w:rPr>
              <w:t>危废种类</w:t>
            </w:r>
          </w:p>
        </w:tc>
        <w:tc>
          <w:tcPr>
            <w:tcW w:w="809" w:type="dxa"/>
            <w:noWrap w:val="0"/>
            <w:vAlign w:val="center"/>
          </w:tcPr>
          <w:p>
            <w:pPr>
              <w:spacing w:line="320" w:lineRule="exact"/>
              <w:jc w:val="center"/>
              <w:rPr>
                <w:b/>
                <w:color w:val="000000"/>
                <w:sz w:val="21"/>
              </w:rPr>
            </w:pPr>
            <w:r>
              <w:rPr>
                <w:b/>
                <w:color w:val="000000"/>
                <w:sz w:val="21"/>
              </w:rPr>
              <w:t>产生量</w:t>
            </w:r>
          </w:p>
        </w:tc>
        <w:tc>
          <w:tcPr>
            <w:tcW w:w="1883" w:type="dxa"/>
            <w:noWrap w:val="0"/>
            <w:vAlign w:val="center"/>
          </w:tcPr>
          <w:p>
            <w:pPr>
              <w:spacing w:line="320" w:lineRule="exact"/>
              <w:jc w:val="center"/>
              <w:rPr>
                <w:b/>
                <w:color w:val="000000"/>
                <w:sz w:val="21"/>
              </w:rPr>
            </w:pPr>
            <w:r>
              <w:rPr>
                <w:rFonts w:hAnsi="宋体"/>
                <w:b/>
                <w:color w:val="000000"/>
                <w:sz w:val="21"/>
              </w:rPr>
              <w:t>危废类别</w:t>
            </w:r>
          </w:p>
        </w:tc>
        <w:tc>
          <w:tcPr>
            <w:tcW w:w="1199" w:type="dxa"/>
            <w:noWrap w:val="0"/>
            <w:vAlign w:val="center"/>
          </w:tcPr>
          <w:p>
            <w:pPr>
              <w:spacing w:line="320" w:lineRule="exact"/>
              <w:jc w:val="center"/>
              <w:rPr>
                <w:b/>
                <w:color w:val="000000"/>
                <w:sz w:val="21"/>
              </w:rPr>
            </w:pPr>
            <w:r>
              <w:rPr>
                <w:rFonts w:hAnsi="宋体"/>
                <w:b/>
                <w:color w:val="000000"/>
                <w:sz w:val="21"/>
              </w:rPr>
              <w:t>危害性质</w:t>
            </w:r>
          </w:p>
        </w:tc>
        <w:tc>
          <w:tcPr>
            <w:tcW w:w="1050" w:type="dxa"/>
            <w:noWrap w:val="0"/>
            <w:vAlign w:val="top"/>
          </w:tcPr>
          <w:p>
            <w:pPr>
              <w:spacing w:line="320" w:lineRule="exact"/>
              <w:jc w:val="center"/>
              <w:rPr>
                <w:b/>
                <w:color w:val="000000"/>
                <w:sz w:val="21"/>
              </w:rPr>
            </w:pPr>
            <w:r>
              <w:rPr>
                <w:rFonts w:hint="eastAsia"/>
                <w:b/>
                <w:color w:val="000000"/>
                <w:sz w:val="21"/>
              </w:rPr>
              <w:t>最大</w:t>
            </w:r>
          </w:p>
          <w:p>
            <w:pPr>
              <w:spacing w:line="320" w:lineRule="exact"/>
              <w:jc w:val="center"/>
              <w:rPr>
                <w:b/>
                <w:color w:val="000000"/>
                <w:sz w:val="21"/>
              </w:rPr>
            </w:pPr>
            <w:r>
              <w:rPr>
                <w:rFonts w:hint="eastAsia"/>
                <w:b/>
                <w:color w:val="000000"/>
                <w:sz w:val="21"/>
              </w:rPr>
              <w:t>储存量</w:t>
            </w:r>
          </w:p>
        </w:tc>
        <w:tc>
          <w:tcPr>
            <w:tcW w:w="1274" w:type="dxa"/>
            <w:noWrap w:val="0"/>
            <w:vAlign w:val="center"/>
          </w:tcPr>
          <w:p>
            <w:pPr>
              <w:spacing w:line="320" w:lineRule="exact"/>
              <w:jc w:val="center"/>
              <w:rPr>
                <w:b/>
                <w:color w:val="000000"/>
                <w:sz w:val="21"/>
              </w:rPr>
            </w:pPr>
            <w:r>
              <w:rPr>
                <w:rFonts w:hAnsi="宋体"/>
                <w:b/>
                <w:color w:val="000000"/>
                <w:sz w:val="21"/>
              </w:rPr>
              <w:t>储存位置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508" w:type="dxa"/>
            <w:noWrap w:val="0"/>
            <w:vAlign w:val="center"/>
          </w:tcPr>
          <w:p>
            <w:pPr>
              <w:spacing w:line="320" w:lineRule="exact"/>
              <w:jc w:val="center"/>
              <w:rPr>
                <w:color w:val="FF0000"/>
                <w:sz w:val="21"/>
              </w:rPr>
            </w:pPr>
            <w:r>
              <w:rPr>
                <w:color w:val="FF0000"/>
                <w:sz w:val="21"/>
              </w:rPr>
              <w:t>1</w:t>
            </w:r>
          </w:p>
        </w:tc>
        <w:tc>
          <w:tcPr>
            <w:tcW w:w="1781" w:type="dxa"/>
            <w:noWrap w:val="0"/>
            <w:vAlign w:val="center"/>
          </w:tcPr>
          <w:p>
            <w:pPr>
              <w:spacing w:line="320" w:lineRule="exact"/>
              <w:jc w:val="center"/>
              <w:rPr>
                <w:color w:val="FF0000"/>
                <w:sz w:val="21"/>
              </w:rPr>
            </w:pPr>
            <w:r>
              <w:rPr>
                <w:rFonts w:hint="eastAsia"/>
                <w:color w:val="FF0000"/>
                <w:sz w:val="21"/>
              </w:rPr>
              <w:t>油泥</w:t>
            </w:r>
          </w:p>
        </w:tc>
        <w:tc>
          <w:tcPr>
            <w:tcW w:w="809" w:type="dxa"/>
            <w:noWrap w:val="0"/>
            <w:vAlign w:val="center"/>
          </w:tcPr>
          <w:p>
            <w:pPr>
              <w:spacing w:line="320" w:lineRule="exact"/>
              <w:jc w:val="center"/>
              <w:rPr>
                <w:rFonts w:hint="default" w:eastAsia="宋体"/>
                <w:color w:val="FF0000"/>
                <w:sz w:val="21"/>
                <w:lang w:val="en-US" w:eastAsia="zh-CN"/>
              </w:rPr>
            </w:pPr>
            <w:r>
              <w:rPr>
                <w:rFonts w:hint="eastAsia"/>
                <w:color w:val="FF0000"/>
                <w:sz w:val="21"/>
                <w:lang w:val="en-US" w:eastAsia="zh-CN"/>
              </w:rPr>
              <w:t>0.3</w:t>
            </w:r>
          </w:p>
        </w:tc>
        <w:tc>
          <w:tcPr>
            <w:tcW w:w="1883" w:type="dxa"/>
            <w:noWrap w:val="0"/>
            <w:vAlign w:val="center"/>
          </w:tcPr>
          <w:p>
            <w:pPr>
              <w:spacing w:line="320" w:lineRule="exact"/>
              <w:jc w:val="center"/>
              <w:rPr>
                <w:color w:val="FF0000"/>
                <w:sz w:val="21"/>
              </w:rPr>
            </w:pPr>
            <w:r>
              <w:rPr>
                <w:rFonts w:hAnsi="宋体"/>
                <w:color w:val="FF0000"/>
                <w:sz w:val="21"/>
              </w:rPr>
              <w:t>危险废物</w:t>
            </w:r>
            <w:r>
              <w:rPr>
                <w:rFonts w:hint="eastAsia" w:hAnsi="宋体"/>
                <w:color w:val="FF0000"/>
                <w:sz w:val="21"/>
              </w:rPr>
              <w:t>（</w:t>
            </w:r>
            <w:r>
              <w:rPr>
                <w:color w:val="FF0000"/>
                <w:sz w:val="21"/>
              </w:rPr>
              <w:t>HW</w:t>
            </w:r>
            <w:r>
              <w:rPr>
                <w:rFonts w:hint="eastAsia"/>
                <w:color w:val="FF0000"/>
                <w:sz w:val="21"/>
              </w:rPr>
              <w:t>08</w:t>
            </w:r>
            <w:r>
              <w:rPr>
                <w:rFonts w:hint="eastAsia" w:hAnsi="宋体"/>
                <w:color w:val="FF0000"/>
                <w:sz w:val="21"/>
              </w:rPr>
              <w:t>）</w:t>
            </w:r>
          </w:p>
        </w:tc>
        <w:tc>
          <w:tcPr>
            <w:tcW w:w="1199" w:type="dxa"/>
            <w:noWrap w:val="0"/>
            <w:vAlign w:val="center"/>
          </w:tcPr>
          <w:p>
            <w:pPr>
              <w:spacing w:line="320" w:lineRule="exact"/>
              <w:jc w:val="center"/>
              <w:rPr>
                <w:color w:val="FF0000"/>
                <w:sz w:val="21"/>
              </w:rPr>
            </w:pPr>
            <w:r>
              <w:rPr>
                <w:color w:val="FF0000"/>
                <w:sz w:val="21"/>
              </w:rPr>
              <w:t>T</w:t>
            </w:r>
          </w:p>
        </w:tc>
        <w:tc>
          <w:tcPr>
            <w:tcW w:w="1050" w:type="dxa"/>
            <w:noWrap w:val="0"/>
            <w:vAlign w:val="center"/>
          </w:tcPr>
          <w:p>
            <w:pPr>
              <w:spacing w:line="320" w:lineRule="exact"/>
              <w:jc w:val="center"/>
              <w:rPr>
                <w:rFonts w:hint="default" w:eastAsia="宋体"/>
                <w:color w:val="FF0000"/>
                <w:sz w:val="21"/>
                <w:szCs w:val="28"/>
                <w:lang w:val="en-US" w:eastAsia="zh-CN"/>
              </w:rPr>
            </w:pPr>
            <w:r>
              <w:rPr>
                <w:rFonts w:hint="eastAsia"/>
                <w:color w:val="FF0000"/>
                <w:sz w:val="21"/>
                <w:lang w:val="en-US" w:eastAsia="zh-CN"/>
              </w:rPr>
              <w:t>0.3</w:t>
            </w:r>
          </w:p>
        </w:tc>
        <w:tc>
          <w:tcPr>
            <w:tcW w:w="1274" w:type="dxa"/>
            <w:noWrap w:val="0"/>
            <w:vAlign w:val="center"/>
          </w:tcPr>
          <w:p>
            <w:pPr>
              <w:spacing w:line="320" w:lineRule="exact"/>
              <w:jc w:val="center"/>
              <w:rPr>
                <w:color w:val="FF0000"/>
                <w:sz w:val="21"/>
              </w:rPr>
            </w:pPr>
            <w:r>
              <w:rPr>
                <w:rFonts w:hAnsi="宋体"/>
                <w:color w:val="FF0000"/>
                <w:sz w:val="21"/>
              </w:rPr>
              <w:t>危废暂</w:t>
            </w:r>
            <w:r>
              <w:rPr>
                <w:rFonts w:hint="eastAsia" w:hAnsi="宋体"/>
                <w:color w:val="FF0000"/>
                <w:sz w:val="21"/>
              </w:rPr>
              <w:t>存</w:t>
            </w:r>
            <w:r>
              <w:rPr>
                <w:rFonts w:hAnsi="宋体"/>
                <w:color w:val="FF0000"/>
                <w:sz w:val="21"/>
              </w:rPr>
              <w:t>间</w:t>
            </w:r>
          </w:p>
        </w:tc>
      </w:tr>
    </w:tbl>
    <w:p>
      <w:pPr>
        <w:spacing w:line="440" w:lineRule="exact"/>
        <w:outlineLvl w:val="2"/>
        <w:rPr>
          <w:rFonts w:eastAsia="黑体"/>
          <w:b/>
          <w:snapToGrid w:val="0"/>
          <w:color w:val="000000" w:themeColor="text1"/>
          <w:spacing w:val="4"/>
          <w:kern w:val="0"/>
          <w:sz w:val="24"/>
          <w:szCs w:val="28"/>
          <w14:textFill>
            <w14:solidFill>
              <w14:schemeClr w14:val="tx1"/>
            </w14:solidFill>
          </w14:textFill>
        </w:rPr>
      </w:pPr>
      <w:bookmarkStart w:id="108" w:name="_Toc10105671"/>
      <w:r>
        <w:rPr>
          <w:rFonts w:eastAsia="黑体"/>
          <w:b/>
          <w:snapToGrid w:val="0"/>
          <w:color w:val="000000" w:themeColor="text1"/>
          <w:spacing w:val="4"/>
          <w:kern w:val="0"/>
          <w:sz w:val="24"/>
          <w:szCs w:val="28"/>
          <w14:textFill>
            <w14:solidFill>
              <w14:schemeClr w14:val="tx1"/>
            </w14:solidFill>
          </w14:textFill>
        </w:rPr>
        <w:t>3.1.</w:t>
      </w:r>
      <w:r>
        <w:rPr>
          <w:rFonts w:hint="eastAsia" w:eastAsia="黑体"/>
          <w:b/>
          <w:snapToGrid w:val="0"/>
          <w:color w:val="000000" w:themeColor="text1"/>
          <w:spacing w:val="4"/>
          <w:kern w:val="0"/>
          <w:sz w:val="24"/>
          <w:szCs w:val="28"/>
          <w14:textFill>
            <w14:solidFill>
              <w14:schemeClr w14:val="tx1"/>
            </w14:solidFill>
          </w14:textFill>
        </w:rPr>
        <w:t>2</w:t>
      </w:r>
      <w:bookmarkEnd w:id="98"/>
      <w:bookmarkEnd w:id="99"/>
      <w:bookmarkEnd w:id="100"/>
      <w:bookmarkEnd w:id="101"/>
      <w:r>
        <w:rPr>
          <w:rFonts w:hint="eastAsia" w:eastAsia="黑体"/>
          <w:b/>
          <w:snapToGrid w:val="0"/>
          <w:color w:val="000000" w:themeColor="text1"/>
          <w:spacing w:val="4"/>
          <w:kern w:val="0"/>
          <w:sz w:val="24"/>
          <w:szCs w:val="28"/>
          <w14:textFill>
            <w14:solidFill>
              <w14:schemeClr w14:val="tx1"/>
            </w14:solidFill>
          </w14:textFill>
        </w:rPr>
        <w:t>环境风险单元识别</w:t>
      </w:r>
      <w:bookmarkEnd w:id="106"/>
      <w:bookmarkEnd w:id="107"/>
      <w:bookmarkEnd w:id="108"/>
    </w:p>
    <w:p>
      <w:pPr>
        <w:pStyle w:val="6"/>
        <w:spacing w:before="0" w:after="0" w:line="440" w:lineRule="exact"/>
        <w:rPr>
          <w:rFonts w:ascii="Times New Roman" w:hAnsi="Times New Roman"/>
          <w:spacing w:val="4"/>
          <w:sz w:val="24"/>
          <w:szCs w:val="24"/>
        </w:rPr>
      </w:pPr>
      <w:bookmarkStart w:id="109" w:name="_Toc484163986"/>
      <w:r>
        <w:rPr>
          <w:rFonts w:ascii="Times New Roman" w:hAnsi="Times New Roman"/>
          <w:spacing w:val="4"/>
          <w:sz w:val="24"/>
          <w:szCs w:val="24"/>
        </w:rPr>
        <w:t>3.</w:t>
      </w:r>
      <w:r>
        <w:rPr>
          <w:rFonts w:hint="eastAsia" w:ascii="Times New Roman" w:hAnsi="Times New Roman"/>
          <w:spacing w:val="4"/>
          <w:sz w:val="24"/>
          <w:szCs w:val="24"/>
        </w:rPr>
        <w:t>1</w:t>
      </w:r>
      <w:r>
        <w:rPr>
          <w:rFonts w:ascii="Times New Roman" w:hAnsi="Times New Roman"/>
          <w:spacing w:val="4"/>
          <w:sz w:val="24"/>
          <w:szCs w:val="24"/>
        </w:rPr>
        <w:t>.</w:t>
      </w:r>
      <w:r>
        <w:rPr>
          <w:rFonts w:hint="eastAsia" w:ascii="Times New Roman" w:hAnsi="Times New Roman"/>
          <w:spacing w:val="4"/>
          <w:sz w:val="24"/>
          <w:szCs w:val="24"/>
        </w:rPr>
        <w:t>2</w:t>
      </w:r>
      <w:r>
        <w:rPr>
          <w:rFonts w:ascii="Times New Roman" w:hAnsi="Times New Roman"/>
          <w:spacing w:val="4"/>
          <w:sz w:val="24"/>
          <w:szCs w:val="24"/>
        </w:rPr>
        <w:t>.1</w:t>
      </w:r>
      <w:r>
        <w:rPr>
          <w:rFonts w:hint="eastAsia" w:ascii="Times New Roman" w:hAnsi="Times New Roman"/>
          <w:spacing w:val="4"/>
          <w:sz w:val="24"/>
          <w:szCs w:val="24"/>
        </w:rPr>
        <w:t>运营过程</w:t>
      </w:r>
      <w:r>
        <w:rPr>
          <w:rFonts w:ascii="Times New Roman" w:hAnsi="Times New Roman"/>
          <w:spacing w:val="4"/>
          <w:sz w:val="24"/>
          <w:szCs w:val="24"/>
        </w:rPr>
        <w:t>风险识别</w:t>
      </w:r>
    </w:p>
    <w:p>
      <w:pPr>
        <w:spacing w:line="440" w:lineRule="exact"/>
        <w:ind w:firstLine="496" w:firstLineChars="200"/>
        <w:rPr>
          <w:bCs/>
          <w:color w:val="000000" w:themeColor="text1"/>
          <w:spacing w:val="4"/>
          <w:sz w:val="24"/>
          <w14:textFill>
            <w14:solidFill>
              <w14:schemeClr w14:val="tx1"/>
            </w14:solidFill>
          </w14:textFill>
        </w:rPr>
      </w:pPr>
      <w:r>
        <w:rPr>
          <w:rFonts w:hint="eastAsia"/>
          <w:bCs/>
          <w:color w:val="000000" w:themeColor="text1"/>
          <w:spacing w:val="4"/>
          <w:sz w:val="24"/>
          <w14:textFill>
            <w14:solidFill>
              <w14:schemeClr w14:val="tx1"/>
            </w14:solidFill>
          </w14:textFill>
        </w:rPr>
        <w:t>企业生产过程中涉及环境风险物质</w:t>
      </w:r>
      <w:r>
        <w:rPr>
          <w:rFonts w:hint="eastAsia"/>
          <w:bCs/>
          <w:color w:val="000000" w:themeColor="text1"/>
          <w:spacing w:val="4"/>
          <w:sz w:val="24"/>
          <w:lang w:eastAsia="zh-CN"/>
          <w14:textFill>
            <w14:solidFill>
              <w14:schemeClr w14:val="tx1"/>
            </w14:solidFill>
          </w14:textFill>
        </w:rPr>
        <w:t>汽油</w:t>
      </w:r>
      <w:r>
        <w:rPr>
          <w:rFonts w:hint="eastAsia"/>
          <w:bCs/>
          <w:color w:val="000000" w:themeColor="text1"/>
          <w:spacing w:val="4"/>
          <w:sz w:val="24"/>
          <w14:textFill>
            <w14:solidFill>
              <w14:schemeClr w14:val="tx1"/>
            </w14:solidFill>
          </w14:textFill>
        </w:rPr>
        <w:t>的使用，因此生产过程中可能会造成突发环境事件。</w:t>
      </w:r>
    </w:p>
    <w:p>
      <w:pPr>
        <w:pStyle w:val="6"/>
        <w:spacing w:before="0" w:after="0" w:line="440" w:lineRule="exact"/>
        <w:rPr>
          <w:rFonts w:ascii="Times New Roman" w:hAnsi="Times New Roman"/>
          <w:color w:val="000000" w:themeColor="text1"/>
          <w:spacing w:val="4"/>
          <w:sz w:val="24"/>
          <w:szCs w:val="24"/>
          <w14:textFill>
            <w14:solidFill>
              <w14:schemeClr w14:val="tx1"/>
            </w14:solidFill>
          </w14:textFill>
        </w:rPr>
      </w:pPr>
      <w:r>
        <w:rPr>
          <w:rFonts w:ascii="Times New Roman" w:hAnsi="Times New Roman"/>
          <w:color w:val="000000" w:themeColor="text1"/>
          <w:spacing w:val="4"/>
          <w:sz w:val="24"/>
          <w:szCs w:val="24"/>
          <w14:textFill>
            <w14:solidFill>
              <w14:schemeClr w14:val="tx1"/>
            </w14:solidFill>
          </w14:textFill>
        </w:rPr>
        <w:t>3.</w:t>
      </w:r>
      <w:r>
        <w:rPr>
          <w:rFonts w:hint="eastAsia" w:ascii="Times New Roman" w:hAnsi="Times New Roman"/>
          <w:color w:val="000000" w:themeColor="text1"/>
          <w:spacing w:val="4"/>
          <w:sz w:val="24"/>
          <w:szCs w:val="24"/>
          <w14:textFill>
            <w14:solidFill>
              <w14:schemeClr w14:val="tx1"/>
            </w14:solidFill>
          </w14:textFill>
        </w:rPr>
        <w:t>1</w:t>
      </w:r>
      <w:r>
        <w:rPr>
          <w:rFonts w:ascii="Times New Roman" w:hAnsi="Times New Roman"/>
          <w:color w:val="000000" w:themeColor="text1"/>
          <w:spacing w:val="4"/>
          <w:sz w:val="24"/>
          <w:szCs w:val="24"/>
          <w14:textFill>
            <w14:solidFill>
              <w14:schemeClr w14:val="tx1"/>
            </w14:solidFill>
          </w14:textFill>
        </w:rPr>
        <w:t>.</w:t>
      </w:r>
      <w:r>
        <w:rPr>
          <w:rFonts w:hint="eastAsia" w:ascii="Times New Roman" w:hAnsi="Times New Roman"/>
          <w:color w:val="000000" w:themeColor="text1"/>
          <w:spacing w:val="4"/>
          <w:sz w:val="24"/>
          <w:szCs w:val="24"/>
          <w14:textFill>
            <w14:solidFill>
              <w14:schemeClr w14:val="tx1"/>
            </w14:solidFill>
          </w14:textFill>
        </w:rPr>
        <w:t>2</w:t>
      </w:r>
      <w:r>
        <w:rPr>
          <w:rFonts w:ascii="Times New Roman" w:hAnsi="Times New Roman"/>
          <w:color w:val="000000" w:themeColor="text1"/>
          <w:spacing w:val="4"/>
          <w:sz w:val="24"/>
          <w:szCs w:val="24"/>
          <w14:textFill>
            <w14:solidFill>
              <w14:schemeClr w14:val="tx1"/>
            </w14:solidFill>
          </w14:textFill>
        </w:rPr>
        <w:t>.2储存系统环境风险识别</w:t>
      </w:r>
    </w:p>
    <w:p>
      <w:pPr>
        <w:spacing w:line="440" w:lineRule="exact"/>
        <w:ind w:firstLine="480" w:firstLineChars="200"/>
        <w:rPr>
          <w:rFonts w:hAnsi="宋体"/>
          <w:b/>
          <w:color w:val="000000" w:themeColor="text1"/>
          <w:szCs w:val="21"/>
          <w14:textFill>
            <w14:solidFill>
              <w14:schemeClr w14:val="tx1"/>
            </w14:solidFill>
          </w14:textFill>
        </w:rPr>
      </w:pPr>
      <w:r>
        <w:rPr>
          <w:rFonts w:hint="eastAsia"/>
          <w:sz w:val="24"/>
          <w:lang w:val="zh-CN"/>
        </w:rPr>
        <w:t>企业可能造成环境风险的储存系统主要包括环境风险物质的储存和危险废物的储存。详见下表：</w:t>
      </w:r>
    </w:p>
    <w:p>
      <w:pPr>
        <w:spacing w:line="460" w:lineRule="exact"/>
        <w:jc w:val="center"/>
        <w:rPr>
          <w:rFonts w:hint="eastAsia"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表3.1-3  环境风险物质储存情况一览表</w:t>
      </w:r>
    </w:p>
    <w:tbl>
      <w:tblPr>
        <w:tblStyle w:val="3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1335"/>
        <w:gridCol w:w="1276"/>
        <w:gridCol w:w="1559"/>
        <w:gridCol w:w="1134"/>
        <w:gridCol w:w="2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758" w:type="dxa"/>
            <w:noWrap w:val="0"/>
            <w:vAlign w:val="center"/>
          </w:tcPr>
          <w:p>
            <w:pPr>
              <w:pStyle w:val="13"/>
              <w:adjustRightInd w:val="0"/>
              <w:snapToGrid w:val="0"/>
              <w:spacing w:after="0" w:line="320" w:lineRule="exact"/>
              <w:ind w:left="0" w:leftChars="0"/>
              <w:jc w:val="center"/>
              <w:rPr>
                <w:rFonts w:ascii="Times New Roman" w:hAnsi="Calibri"/>
                <w:snapToGrid w:val="0"/>
                <w:color w:val="000000"/>
                <w:spacing w:val="0"/>
                <w:sz w:val="21"/>
                <w:szCs w:val="21"/>
                <w:lang w:val="en-US" w:eastAsia="zh-CN"/>
              </w:rPr>
            </w:pPr>
            <w:r>
              <w:rPr>
                <w:rFonts w:ascii="Times New Roman" w:hAnsi="Calibri"/>
                <w:snapToGrid w:val="0"/>
                <w:color w:val="000000"/>
                <w:spacing w:val="0"/>
                <w:sz w:val="21"/>
                <w:szCs w:val="21"/>
                <w:lang w:val="en-US" w:eastAsia="zh-CN"/>
              </w:rPr>
              <w:t>序号</w:t>
            </w:r>
          </w:p>
        </w:tc>
        <w:tc>
          <w:tcPr>
            <w:tcW w:w="1335" w:type="dxa"/>
            <w:noWrap w:val="0"/>
            <w:vAlign w:val="center"/>
          </w:tcPr>
          <w:p>
            <w:pPr>
              <w:pStyle w:val="13"/>
              <w:adjustRightInd w:val="0"/>
              <w:snapToGrid w:val="0"/>
              <w:spacing w:after="0" w:line="320" w:lineRule="exact"/>
              <w:ind w:left="0" w:leftChars="0"/>
              <w:jc w:val="center"/>
              <w:rPr>
                <w:rFonts w:ascii="Times New Roman" w:hAnsi="Calibri"/>
                <w:snapToGrid w:val="0"/>
                <w:color w:val="000000"/>
                <w:spacing w:val="0"/>
                <w:sz w:val="21"/>
                <w:szCs w:val="21"/>
                <w:lang w:val="en-US" w:eastAsia="zh-CN"/>
              </w:rPr>
            </w:pPr>
            <w:r>
              <w:rPr>
                <w:rFonts w:ascii="Times New Roman" w:hAnsi="Calibri"/>
                <w:snapToGrid w:val="0"/>
                <w:color w:val="000000"/>
                <w:spacing w:val="0"/>
                <w:sz w:val="21"/>
                <w:szCs w:val="21"/>
                <w:lang w:val="en-US" w:eastAsia="zh-CN"/>
              </w:rPr>
              <w:t>物质名称</w:t>
            </w:r>
          </w:p>
        </w:tc>
        <w:tc>
          <w:tcPr>
            <w:tcW w:w="1276" w:type="dxa"/>
            <w:noWrap w:val="0"/>
            <w:vAlign w:val="center"/>
          </w:tcPr>
          <w:p>
            <w:pPr>
              <w:pStyle w:val="13"/>
              <w:adjustRightInd w:val="0"/>
              <w:snapToGrid w:val="0"/>
              <w:spacing w:after="0" w:line="320" w:lineRule="exact"/>
              <w:ind w:left="0" w:leftChars="0"/>
              <w:jc w:val="center"/>
              <w:rPr>
                <w:rFonts w:ascii="Times New Roman" w:hAnsi="Calibri"/>
                <w:snapToGrid w:val="0"/>
                <w:color w:val="000000"/>
                <w:spacing w:val="0"/>
                <w:sz w:val="21"/>
                <w:szCs w:val="21"/>
                <w:lang w:val="en-US" w:eastAsia="zh-CN"/>
              </w:rPr>
            </w:pPr>
            <w:r>
              <w:rPr>
                <w:rFonts w:hint="eastAsia" w:ascii="Times New Roman" w:hAnsi="Calibri"/>
                <w:snapToGrid w:val="0"/>
                <w:color w:val="000000"/>
                <w:spacing w:val="0"/>
                <w:sz w:val="21"/>
                <w:szCs w:val="21"/>
                <w:lang w:val="en-US" w:eastAsia="zh-CN"/>
              </w:rPr>
              <w:t>物理状态</w:t>
            </w:r>
          </w:p>
        </w:tc>
        <w:tc>
          <w:tcPr>
            <w:tcW w:w="1559" w:type="dxa"/>
            <w:noWrap w:val="0"/>
            <w:vAlign w:val="center"/>
          </w:tcPr>
          <w:p>
            <w:pPr>
              <w:pStyle w:val="13"/>
              <w:adjustRightInd w:val="0"/>
              <w:snapToGrid w:val="0"/>
              <w:spacing w:after="0" w:line="320" w:lineRule="exact"/>
              <w:ind w:left="0" w:leftChars="0"/>
              <w:jc w:val="center"/>
              <w:rPr>
                <w:rFonts w:ascii="Times New Roman" w:hAnsi="Calibri"/>
                <w:snapToGrid w:val="0"/>
                <w:color w:val="000000"/>
                <w:spacing w:val="0"/>
                <w:sz w:val="21"/>
                <w:szCs w:val="21"/>
                <w:lang w:val="en-US" w:eastAsia="zh-CN"/>
              </w:rPr>
            </w:pPr>
            <w:r>
              <w:rPr>
                <w:rFonts w:hint="eastAsia" w:ascii="Times New Roman" w:hAnsi="Calibri"/>
                <w:snapToGrid w:val="0"/>
                <w:color w:val="000000"/>
                <w:spacing w:val="0"/>
                <w:sz w:val="21"/>
                <w:szCs w:val="21"/>
                <w:lang w:val="en-US" w:eastAsia="zh-CN"/>
              </w:rPr>
              <w:t>最大存在量</w:t>
            </w:r>
            <w:r>
              <w:rPr>
                <w:rFonts w:ascii="Times New Roman" w:hAnsi="Calibri"/>
                <w:snapToGrid w:val="0"/>
                <w:color w:val="000000"/>
                <w:spacing w:val="0"/>
                <w:sz w:val="21"/>
                <w:szCs w:val="21"/>
                <w:lang w:val="en-US" w:eastAsia="zh-CN"/>
              </w:rPr>
              <w:t>（t）</w:t>
            </w:r>
          </w:p>
        </w:tc>
        <w:tc>
          <w:tcPr>
            <w:tcW w:w="1134" w:type="dxa"/>
            <w:noWrap w:val="0"/>
            <w:vAlign w:val="center"/>
          </w:tcPr>
          <w:p>
            <w:pPr>
              <w:pStyle w:val="13"/>
              <w:adjustRightInd w:val="0"/>
              <w:snapToGrid w:val="0"/>
              <w:spacing w:after="0" w:line="320" w:lineRule="exact"/>
              <w:ind w:left="0" w:leftChars="0"/>
              <w:jc w:val="center"/>
              <w:rPr>
                <w:rFonts w:ascii="Times New Roman" w:hAnsi="Calibri"/>
                <w:snapToGrid w:val="0"/>
                <w:color w:val="000000"/>
                <w:spacing w:val="0"/>
                <w:sz w:val="21"/>
                <w:szCs w:val="21"/>
                <w:lang w:val="en-US" w:eastAsia="zh-CN"/>
              </w:rPr>
            </w:pPr>
            <w:r>
              <w:rPr>
                <w:rFonts w:hint="eastAsia" w:ascii="Times New Roman" w:hAnsi="Calibri"/>
                <w:snapToGrid w:val="0"/>
                <w:color w:val="000000"/>
                <w:spacing w:val="0"/>
                <w:sz w:val="21"/>
                <w:szCs w:val="21"/>
                <w:lang w:val="en-US" w:eastAsia="zh-CN"/>
              </w:rPr>
              <w:t>储运方式</w:t>
            </w:r>
          </w:p>
        </w:tc>
        <w:tc>
          <w:tcPr>
            <w:tcW w:w="2460" w:type="dxa"/>
            <w:noWrap w:val="0"/>
            <w:vAlign w:val="center"/>
          </w:tcPr>
          <w:p>
            <w:pPr>
              <w:pStyle w:val="13"/>
              <w:adjustRightInd w:val="0"/>
              <w:snapToGrid w:val="0"/>
              <w:spacing w:after="0" w:line="320" w:lineRule="exact"/>
              <w:ind w:left="0" w:leftChars="0"/>
              <w:jc w:val="center"/>
              <w:rPr>
                <w:rFonts w:ascii="Times New Roman" w:hAnsi="Calibri"/>
                <w:snapToGrid w:val="0"/>
                <w:color w:val="000000"/>
                <w:spacing w:val="0"/>
                <w:sz w:val="21"/>
                <w:szCs w:val="21"/>
                <w:lang w:val="en-US" w:eastAsia="zh-CN"/>
              </w:rPr>
            </w:pPr>
            <w:r>
              <w:rPr>
                <w:rFonts w:hint="eastAsia" w:ascii="Times New Roman" w:hAnsi="Calibri"/>
                <w:snapToGrid w:val="0"/>
                <w:color w:val="000000"/>
                <w:spacing w:val="0"/>
                <w:sz w:val="21"/>
                <w:szCs w:val="21"/>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758" w:type="dxa"/>
            <w:noWrap w:val="0"/>
            <w:vAlign w:val="center"/>
          </w:tcPr>
          <w:p>
            <w:pPr>
              <w:pStyle w:val="13"/>
              <w:adjustRightInd w:val="0"/>
              <w:snapToGrid w:val="0"/>
              <w:spacing w:after="0" w:line="320" w:lineRule="exact"/>
              <w:ind w:left="0" w:leftChars="0"/>
              <w:jc w:val="center"/>
              <w:rPr>
                <w:rFonts w:hint="eastAsia" w:ascii="Times New Roman"/>
                <w:snapToGrid w:val="0"/>
                <w:color w:val="FF0000"/>
                <w:spacing w:val="0"/>
                <w:sz w:val="21"/>
                <w:szCs w:val="21"/>
                <w:highlight w:val="none"/>
                <w:lang w:val="en-US" w:eastAsia="zh-CN"/>
              </w:rPr>
            </w:pPr>
            <w:r>
              <w:rPr>
                <w:rFonts w:hint="eastAsia" w:ascii="Times New Roman"/>
                <w:snapToGrid w:val="0"/>
                <w:color w:val="FF0000"/>
                <w:spacing w:val="0"/>
                <w:sz w:val="21"/>
                <w:szCs w:val="21"/>
                <w:highlight w:val="none"/>
                <w:lang w:val="en-US" w:eastAsia="zh-CN"/>
              </w:rPr>
              <w:t>1</w:t>
            </w:r>
          </w:p>
        </w:tc>
        <w:tc>
          <w:tcPr>
            <w:tcW w:w="1335" w:type="dxa"/>
            <w:noWrap w:val="0"/>
            <w:vAlign w:val="center"/>
          </w:tcPr>
          <w:p>
            <w:pPr>
              <w:adjustRightInd w:val="0"/>
              <w:snapToGrid w:val="0"/>
              <w:spacing w:line="320" w:lineRule="exact"/>
              <w:jc w:val="center"/>
              <w:rPr>
                <w:rFonts w:hint="eastAsia"/>
                <w:color w:val="FF0000"/>
                <w:sz w:val="21"/>
                <w:szCs w:val="28"/>
                <w:highlight w:val="none"/>
              </w:rPr>
            </w:pPr>
            <w:r>
              <w:rPr>
                <w:rFonts w:hint="eastAsia"/>
                <w:color w:val="FF0000"/>
                <w:sz w:val="21"/>
                <w:szCs w:val="28"/>
                <w:highlight w:val="none"/>
              </w:rPr>
              <w:t>汽油</w:t>
            </w:r>
          </w:p>
        </w:tc>
        <w:tc>
          <w:tcPr>
            <w:tcW w:w="1276" w:type="dxa"/>
            <w:noWrap w:val="0"/>
            <w:vAlign w:val="center"/>
          </w:tcPr>
          <w:p>
            <w:pPr>
              <w:pStyle w:val="13"/>
              <w:spacing w:after="0" w:line="320" w:lineRule="exact"/>
              <w:ind w:left="0" w:leftChars="0"/>
              <w:jc w:val="center"/>
              <w:rPr>
                <w:rFonts w:hint="eastAsia" w:ascii="Times New Roman"/>
                <w:snapToGrid w:val="0"/>
                <w:color w:val="FF0000"/>
                <w:spacing w:val="0"/>
                <w:sz w:val="21"/>
                <w:szCs w:val="21"/>
                <w:highlight w:val="none"/>
                <w:lang w:val="en-US" w:eastAsia="zh-CN"/>
              </w:rPr>
            </w:pPr>
            <w:r>
              <w:rPr>
                <w:rFonts w:hint="eastAsia" w:ascii="Times New Roman"/>
                <w:snapToGrid w:val="0"/>
                <w:color w:val="FF0000"/>
                <w:spacing w:val="0"/>
                <w:sz w:val="21"/>
                <w:szCs w:val="21"/>
                <w:highlight w:val="none"/>
                <w:lang w:val="en-US" w:eastAsia="zh-CN"/>
              </w:rPr>
              <w:t>液态</w:t>
            </w:r>
          </w:p>
        </w:tc>
        <w:tc>
          <w:tcPr>
            <w:tcW w:w="1559" w:type="dxa"/>
            <w:noWrap w:val="0"/>
            <w:vAlign w:val="center"/>
          </w:tcPr>
          <w:p>
            <w:pPr>
              <w:pStyle w:val="13"/>
              <w:adjustRightInd w:val="0"/>
              <w:snapToGrid w:val="0"/>
              <w:spacing w:after="0" w:line="320" w:lineRule="exact"/>
              <w:ind w:left="0" w:leftChars="0"/>
              <w:jc w:val="center"/>
              <w:rPr>
                <w:rFonts w:hint="default" w:ascii="Times New Roman" w:cs="宋体"/>
                <w:snapToGrid w:val="0"/>
                <w:color w:val="FF0000"/>
                <w:spacing w:val="4"/>
                <w:sz w:val="21"/>
                <w:szCs w:val="20"/>
                <w:highlight w:val="none"/>
                <w:lang w:val="en-US" w:eastAsia="zh-CN"/>
              </w:rPr>
            </w:pPr>
            <w:r>
              <w:rPr>
                <w:rFonts w:hint="eastAsia" w:ascii="Times New Roman" w:cs="宋体"/>
                <w:snapToGrid w:val="0"/>
                <w:color w:val="FF0000"/>
                <w:spacing w:val="4"/>
                <w:sz w:val="21"/>
                <w:szCs w:val="20"/>
                <w:highlight w:val="none"/>
                <w:lang w:val="en-US" w:eastAsia="zh-CN"/>
              </w:rPr>
              <w:t>87.6</w:t>
            </w:r>
          </w:p>
        </w:tc>
        <w:tc>
          <w:tcPr>
            <w:tcW w:w="1134" w:type="dxa"/>
            <w:noWrap w:val="0"/>
            <w:vAlign w:val="top"/>
          </w:tcPr>
          <w:p>
            <w:pPr>
              <w:jc w:val="center"/>
              <w:rPr>
                <w:color w:val="FF0000"/>
                <w:highlight w:val="none"/>
              </w:rPr>
            </w:pPr>
            <w:r>
              <w:rPr>
                <w:rFonts w:hint="eastAsia"/>
                <w:color w:val="FF0000"/>
                <w:spacing w:val="0"/>
                <w:sz w:val="21"/>
                <w:highlight w:val="none"/>
              </w:rPr>
              <w:t>罐装</w:t>
            </w:r>
          </w:p>
        </w:tc>
        <w:tc>
          <w:tcPr>
            <w:tcW w:w="2460" w:type="dxa"/>
            <w:noWrap w:val="0"/>
            <w:vAlign w:val="center"/>
          </w:tcPr>
          <w:p>
            <w:pPr>
              <w:widowControl/>
              <w:spacing w:line="320" w:lineRule="exact"/>
              <w:jc w:val="center"/>
              <w:rPr>
                <w:rFonts w:hint="eastAsia"/>
                <w:color w:val="FF0000"/>
                <w:sz w:val="21"/>
                <w:highlight w:val="none"/>
              </w:rPr>
            </w:pPr>
            <w:r>
              <w:rPr>
                <w:rFonts w:hint="eastAsia" w:eastAsia="仿宋_GB2312"/>
                <w:color w:val="FF0000"/>
                <w:spacing w:val="0"/>
                <w:sz w:val="21"/>
                <w:highlight w:val="none"/>
                <w:lang w:val="en-US" w:eastAsia="zh-CN"/>
              </w:rPr>
              <w:t>5</w:t>
            </w:r>
            <w:r>
              <w:rPr>
                <w:rFonts w:hint="eastAsia" w:eastAsia="仿宋_GB2312"/>
                <w:color w:val="FF0000"/>
                <w:spacing w:val="0"/>
                <w:sz w:val="21"/>
                <w:highlight w:val="none"/>
              </w:rPr>
              <w:t>台</w:t>
            </w:r>
            <w:r>
              <w:rPr>
                <w:rFonts w:hint="eastAsia" w:eastAsia="仿宋_GB2312"/>
                <w:color w:val="FF0000"/>
                <w:spacing w:val="0"/>
                <w:sz w:val="21"/>
                <w:highlight w:val="none"/>
                <w:lang w:val="en-US" w:eastAsia="zh-CN"/>
              </w:rPr>
              <w:t>30</w:t>
            </w:r>
            <w:r>
              <w:rPr>
                <w:rFonts w:eastAsia="仿宋_GB2312"/>
                <w:color w:val="FF0000"/>
                <w:spacing w:val="0"/>
                <w:sz w:val="21"/>
                <w:highlight w:val="none"/>
              </w:rPr>
              <w:t>m</w:t>
            </w:r>
            <w:r>
              <w:rPr>
                <w:rFonts w:eastAsia="仿宋_GB2312"/>
                <w:color w:val="FF0000"/>
                <w:spacing w:val="0"/>
                <w:sz w:val="21"/>
                <w:highlight w:val="none"/>
                <w:vertAlign w:val="superscript"/>
              </w:rPr>
              <w:t>3</w:t>
            </w:r>
            <w:r>
              <w:rPr>
                <w:rFonts w:hint="eastAsia" w:eastAsia="仿宋_GB2312"/>
                <w:color w:val="FF0000"/>
                <w:spacing w:val="0"/>
                <w:sz w:val="21"/>
                <w:highlight w:val="none"/>
              </w:rPr>
              <w:t>的储罐</w:t>
            </w:r>
          </w:p>
        </w:tc>
      </w:tr>
    </w:tbl>
    <w:p>
      <w:pPr>
        <w:pStyle w:val="13"/>
        <w:spacing w:after="0" w:line="500" w:lineRule="exact"/>
        <w:ind w:left="0" w:leftChars="0"/>
        <w:jc w:val="center"/>
        <w:rPr>
          <w:b/>
          <w:color w:val="FF0000"/>
        </w:rPr>
      </w:pPr>
      <w:r>
        <w:rPr>
          <w:rFonts w:hint="eastAsia"/>
          <w:b/>
          <w:color w:val="FF0000"/>
        </w:rPr>
        <w:t>表</w:t>
      </w:r>
      <w:r>
        <w:rPr>
          <w:b/>
          <w:color w:val="FF0000"/>
        </w:rPr>
        <w:t xml:space="preserve">3.1-4  </w:t>
      </w:r>
      <w:r>
        <w:rPr>
          <w:rFonts w:hint="eastAsia"/>
          <w:b/>
          <w:color w:val="FF0000"/>
        </w:rPr>
        <w:t>企业危险废物</w:t>
      </w:r>
      <w:r>
        <w:rPr>
          <w:b/>
          <w:color w:val="FF0000"/>
        </w:rPr>
        <w:t>情况一览表</w:t>
      </w:r>
    </w:p>
    <w:tbl>
      <w:tblPr>
        <w:tblStyle w:val="31"/>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96"/>
        <w:gridCol w:w="1772"/>
        <w:gridCol w:w="757"/>
        <w:gridCol w:w="2215"/>
        <w:gridCol w:w="934"/>
        <w:gridCol w:w="1186"/>
        <w:gridCol w:w="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12" w:hRule="atLeast"/>
          <w:tblHeader/>
          <w:jc w:val="center"/>
        </w:trPr>
        <w:tc>
          <w:tcPr>
            <w:tcW w:w="496" w:type="dxa"/>
            <w:vAlign w:val="center"/>
          </w:tcPr>
          <w:p>
            <w:pPr>
              <w:spacing w:line="260" w:lineRule="exact"/>
              <w:jc w:val="center"/>
              <w:rPr>
                <w:b/>
                <w:color w:val="FF0000"/>
              </w:rPr>
            </w:pPr>
            <w:r>
              <w:rPr>
                <w:b/>
                <w:color w:val="FF0000"/>
              </w:rPr>
              <w:t>序号</w:t>
            </w:r>
          </w:p>
        </w:tc>
        <w:tc>
          <w:tcPr>
            <w:tcW w:w="1772" w:type="dxa"/>
            <w:vAlign w:val="center"/>
          </w:tcPr>
          <w:p>
            <w:pPr>
              <w:spacing w:line="260" w:lineRule="exact"/>
              <w:jc w:val="center"/>
              <w:rPr>
                <w:b/>
                <w:color w:val="FF0000"/>
              </w:rPr>
            </w:pPr>
            <w:r>
              <w:rPr>
                <w:rFonts w:hAnsi="宋体"/>
                <w:b/>
                <w:color w:val="FF0000"/>
              </w:rPr>
              <w:t>危废种类</w:t>
            </w:r>
          </w:p>
        </w:tc>
        <w:tc>
          <w:tcPr>
            <w:tcW w:w="757" w:type="dxa"/>
            <w:vAlign w:val="center"/>
          </w:tcPr>
          <w:p>
            <w:pPr>
              <w:spacing w:line="260" w:lineRule="exact"/>
              <w:jc w:val="center"/>
              <w:rPr>
                <w:b/>
                <w:color w:val="FF0000"/>
              </w:rPr>
            </w:pPr>
            <w:r>
              <w:rPr>
                <w:b/>
                <w:color w:val="FF0000"/>
              </w:rPr>
              <w:t>产生量</w:t>
            </w:r>
          </w:p>
        </w:tc>
        <w:tc>
          <w:tcPr>
            <w:tcW w:w="2215" w:type="dxa"/>
            <w:vAlign w:val="center"/>
          </w:tcPr>
          <w:p>
            <w:pPr>
              <w:spacing w:line="260" w:lineRule="exact"/>
              <w:jc w:val="center"/>
              <w:rPr>
                <w:b/>
                <w:color w:val="FF0000"/>
              </w:rPr>
            </w:pPr>
            <w:r>
              <w:rPr>
                <w:rFonts w:hAnsi="宋体"/>
                <w:b/>
                <w:color w:val="FF0000"/>
              </w:rPr>
              <w:t>危废类别</w:t>
            </w:r>
          </w:p>
        </w:tc>
        <w:tc>
          <w:tcPr>
            <w:tcW w:w="934" w:type="dxa"/>
          </w:tcPr>
          <w:p>
            <w:pPr>
              <w:spacing w:line="260" w:lineRule="exact"/>
              <w:jc w:val="center"/>
              <w:rPr>
                <w:b/>
                <w:color w:val="FF0000"/>
              </w:rPr>
            </w:pPr>
            <w:r>
              <w:rPr>
                <w:rFonts w:hAnsi="宋体"/>
                <w:b/>
                <w:color w:val="FF0000"/>
              </w:rPr>
              <w:t>危害性质</w:t>
            </w:r>
          </w:p>
        </w:tc>
        <w:tc>
          <w:tcPr>
            <w:tcW w:w="1186" w:type="dxa"/>
          </w:tcPr>
          <w:p>
            <w:pPr>
              <w:spacing w:line="260" w:lineRule="exact"/>
              <w:jc w:val="center"/>
              <w:rPr>
                <w:b/>
                <w:color w:val="FF0000"/>
              </w:rPr>
            </w:pPr>
            <w:r>
              <w:rPr>
                <w:rFonts w:hint="eastAsia"/>
                <w:b/>
                <w:color w:val="FF0000"/>
              </w:rPr>
              <w:t>最大储存量</w:t>
            </w:r>
          </w:p>
        </w:tc>
        <w:tc>
          <w:tcPr>
            <w:tcW w:w="936" w:type="dxa"/>
          </w:tcPr>
          <w:p>
            <w:pPr>
              <w:spacing w:line="260" w:lineRule="exact"/>
              <w:jc w:val="center"/>
              <w:rPr>
                <w:b/>
                <w:color w:val="FF0000"/>
              </w:rPr>
            </w:pPr>
            <w:r>
              <w:rPr>
                <w:rFonts w:hAnsi="宋体"/>
                <w:b/>
                <w:color w:val="FF0000"/>
              </w:rPr>
              <w:t>储存位置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12" w:hRule="atLeast"/>
          <w:jc w:val="center"/>
        </w:trPr>
        <w:tc>
          <w:tcPr>
            <w:tcW w:w="496" w:type="dxa"/>
            <w:vAlign w:val="center"/>
          </w:tcPr>
          <w:p>
            <w:pPr>
              <w:spacing w:line="260" w:lineRule="exact"/>
              <w:jc w:val="center"/>
              <w:rPr>
                <w:color w:val="FF0000"/>
              </w:rPr>
            </w:pPr>
            <w:r>
              <w:rPr>
                <w:color w:val="FF0000"/>
              </w:rPr>
              <w:t>1</w:t>
            </w:r>
          </w:p>
        </w:tc>
        <w:tc>
          <w:tcPr>
            <w:tcW w:w="1772" w:type="dxa"/>
            <w:vAlign w:val="center"/>
          </w:tcPr>
          <w:p>
            <w:pPr>
              <w:spacing w:line="260" w:lineRule="exact"/>
              <w:jc w:val="center"/>
              <w:rPr>
                <w:color w:val="FF0000"/>
              </w:rPr>
            </w:pPr>
            <w:r>
              <w:rPr>
                <w:rFonts w:hint="eastAsia"/>
                <w:color w:val="FF0000"/>
              </w:rPr>
              <w:t>油泥</w:t>
            </w:r>
          </w:p>
        </w:tc>
        <w:tc>
          <w:tcPr>
            <w:tcW w:w="757" w:type="dxa"/>
            <w:vAlign w:val="center"/>
          </w:tcPr>
          <w:p>
            <w:pPr>
              <w:spacing w:line="260" w:lineRule="exact"/>
              <w:jc w:val="center"/>
              <w:rPr>
                <w:color w:val="FF0000"/>
              </w:rPr>
            </w:pPr>
            <w:r>
              <w:rPr>
                <w:rFonts w:hint="eastAsia"/>
                <w:color w:val="FF0000"/>
                <w:lang w:val="en-US" w:eastAsia="zh-CN"/>
              </w:rPr>
              <w:t>0.3</w:t>
            </w:r>
            <w:r>
              <w:rPr>
                <w:rFonts w:hint="eastAsia"/>
                <w:color w:val="FF0000"/>
              </w:rPr>
              <w:t>t/a</w:t>
            </w:r>
          </w:p>
        </w:tc>
        <w:tc>
          <w:tcPr>
            <w:tcW w:w="2215" w:type="dxa"/>
            <w:vAlign w:val="center"/>
          </w:tcPr>
          <w:p>
            <w:pPr>
              <w:spacing w:line="260" w:lineRule="exact"/>
              <w:jc w:val="center"/>
              <w:rPr>
                <w:color w:val="FF0000"/>
              </w:rPr>
            </w:pPr>
            <w:r>
              <w:rPr>
                <w:rFonts w:hint="eastAsia"/>
                <w:color w:val="FF0000"/>
              </w:rPr>
              <w:t>危险废物（HW08）</w:t>
            </w:r>
          </w:p>
        </w:tc>
        <w:tc>
          <w:tcPr>
            <w:tcW w:w="934" w:type="dxa"/>
            <w:vAlign w:val="center"/>
          </w:tcPr>
          <w:p>
            <w:pPr>
              <w:spacing w:line="260" w:lineRule="exact"/>
              <w:jc w:val="center"/>
              <w:rPr>
                <w:color w:val="FF0000"/>
              </w:rPr>
            </w:pPr>
            <w:r>
              <w:rPr>
                <w:rFonts w:hint="eastAsia"/>
                <w:color w:val="FF0000"/>
              </w:rPr>
              <w:t>T</w:t>
            </w:r>
          </w:p>
        </w:tc>
        <w:tc>
          <w:tcPr>
            <w:tcW w:w="1186" w:type="dxa"/>
            <w:vAlign w:val="center"/>
          </w:tcPr>
          <w:p>
            <w:pPr>
              <w:spacing w:line="260" w:lineRule="exact"/>
              <w:jc w:val="center"/>
              <w:rPr>
                <w:color w:val="FF0000"/>
              </w:rPr>
            </w:pPr>
            <w:r>
              <w:rPr>
                <w:rFonts w:hint="eastAsia"/>
                <w:color w:val="FF0000"/>
                <w:lang w:val="en-US" w:eastAsia="zh-CN"/>
              </w:rPr>
              <w:t>0.3</w:t>
            </w:r>
            <w:r>
              <w:rPr>
                <w:rFonts w:hint="eastAsia"/>
                <w:color w:val="FF0000"/>
              </w:rPr>
              <w:t>t/a</w:t>
            </w:r>
          </w:p>
        </w:tc>
        <w:tc>
          <w:tcPr>
            <w:tcW w:w="936" w:type="dxa"/>
            <w:vAlign w:val="center"/>
          </w:tcPr>
          <w:p>
            <w:pPr>
              <w:spacing w:line="260" w:lineRule="exact"/>
              <w:jc w:val="center"/>
              <w:rPr>
                <w:color w:val="FF0000"/>
              </w:rPr>
            </w:pPr>
            <w:r>
              <w:rPr>
                <w:rFonts w:hint="eastAsia"/>
                <w:color w:val="FF0000"/>
              </w:rPr>
              <w:t>危废</w:t>
            </w:r>
          </w:p>
          <w:p>
            <w:pPr>
              <w:spacing w:line="260" w:lineRule="exact"/>
              <w:jc w:val="center"/>
              <w:rPr>
                <w:color w:val="FF0000"/>
              </w:rPr>
            </w:pPr>
            <w:r>
              <w:rPr>
                <w:rFonts w:hint="eastAsia"/>
                <w:color w:val="FF0000"/>
              </w:rPr>
              <w:t>暂存间</w:t>
            </w:r>
          </w:p>
        </w:tc>
      </w:tr>
    </w:tbl>
    <w:p>
      <w:pPr>
        <w:pStyle w:val="6"/>
        <w:spacing w:before="0" w:after="0" w:line="480" w:lineRule="exact"/>
        <w:rPr>
          <w:rFonts w:ascii="Times New Roman" w:hAnsi="Times New Roman"/>
          <w:color w:val="000000" w:themeColor="text1"/>
          <w:spacing w:val="4"/>
          <w:sz w:val="24"/>
          <w:szCs w:val="24"/>
          <w14:textFill>
            <w14:solidFill>
              <w14:schemeClr w14:val="tx1"/>
            </w14:solidFill>
          </w14:textFill>
        </w:rPr>
      </w:pPr>
      <w:r>
        <w:rPr>
          <w:rFonts w:ascii="Times New Roman" w:hAnsi="Times New Roman"/>
          <w:color w:val="000000" w:themeColor="text1"/>
          <w:spacing w:val="4"/>
          <w:sz w:val="24"/>
          <w:szCs w:val="24"/>
          <w14:textFill>
            <w14:solidFill>
              <w14:schemeClr w14:val="tx1"/>
            </w14:solidFill>
          </w14:textFill>
        </w:rPr>
        <w:t>3.</w:t>
      </w:r>
      <w:r>
        <w:rPr>
          <w:rFonts w:hint="eastAsia" w:ascii="Times New Roman" w:hAnsi="Times New Roman"/>
          <w:color w:val="000000" w:themeColor="text1"/>
          <w:spacing w:val="4"/>
          <w:sz w:val="24"/>
          <w:szCs w:val="24"/>
          <w14:textFill>
            <w14:solidFill>
              <w14:schemeClr w14:val="tx1"/>
            </w14:solidFill>
          </w14:textFill>
        </w:rPr>
        <w:t>1</w:t>
      </w:r>
      <w:r>
        <w:rPr>
          <w:rFonts w:ascii="Times New Roman" w:hAnsi="Times New Roman"/>
          <w:color w:val="000000" w:themeColor="text1"/>
          <w:spacing w:val="4"/>
          <w:sz w:val="24"/>
          <w:szCs w:val="24"/>
          <w14:textFill>
            <w14:solidFill>
              <w14:schemeClr w14:val="tx1"/>
            </w14:solidFill>
          </w14:textFill>
        </w:rPr>
        <w:t>.</w:t>
      </w:r>
      <w:r>
        <w:rPr>
          <w:rFonts w:hint="eastAsia" w:ascii="Times New Roman" w:hAnsi="Times New Roman"/>
          <w:color w:val="000000" w:themeColor="text1"/>
          <w:spacing w:val="4"/>
          <w:sz w:val="24"/>
          <w:szCs w:val="24"/>
          <w14:textFill>
            <w14:solidFill>
              <w14:schemeClr w14:val="tx1"/>
            </w14:solidFill>
          </w14:textFill>
        </w:rPr>
        <w:t>2</w:t>
      </w:r>
      <w:r>
        <w:rPr>
          <w:rFonts w:ascii="Times New Roman" w:hAnsi="Times New Roman"/>
          <w:color w:val="000000" w:themeColor="text1"/>
          <w:spacing w:val="4"/>
          <w:sz w:val="24"/>
          <w:szCs w:val="24"/>
          <w14:textFill>
            <w14:solidFill>
              <w14:schemeClr w14:val="tx1"/>
            </w14:solidFill>
          </w14:textFill>
        </w:rPr>
        <w:t>.</w:t>
      </w:r>
      <w:r>
        <w:rPr>
          <w:rFonts w:hint="eastAsia" w:ascii="Times New Roman" w:hAnsi="Times New Roman"/>
          <w:color w:val="000000" w:themeColor="text1"/>
          <w:spacing w:val="4"/>
          <w:sz w:val="24"/>
          <w:szCs w:val="24"/>
          <w14:textFill>
            <w14:solidFill>
              <w14:schemeClr w14:val="tx1"/>
            </w14:solidFill>
          </w14:textFill>
        </w:rPr>
        <w:t>3污染物治理设施</w:t>
      </w:r>
      <w:r>
        <w:rPr>
          <w:rFonts w:ascii="Times New Roman" w:hAnsi="Times New Roman"/>
          <w:color w:val="000000" w:themeColor="text1"/>
          <w:spacing w:val="4"/>
          <w:sz w:val="24"/>
          <w:szCs w:val="24"/>
          <w14:textFill>
            <w14:solidFill>
              <w14:schemeClr w14:val="tx1"/>
            </w14:solidFill>
          </w14:textFill>
        </w:rPr>
        <w:t>环境风险识别</w:t>
      </w:r>
    </w:p>
    <w:p>
      <w:pPr>
        <w:spacing w:line="480" w:lineRule="exact"/>
        <w:ind w:firstLine="496" w:firstLineChars="200"/>
        <w:rPr>
          <w:bCs/>
          <w:spacing w:val="4"/>
          <w:sz w:val="24"/>
        </w:rPr>
      </w:pPr>
      <w:r>
        <w:rPr>
          <w:rFonts w:hint="eastAsia"/>
          <w:bCs/>
          <w:spacing w:val="4"/>
          <w:sz w:val="24"/>
        </w:rPr>
        <w:t>厂区污染物治理设施见下表：</w:t>
      </w:r>
    </w:p>
    <w:p>
      <w:pPr>
        <w:spacing w:line="440" w:lineRule="exact"/>
        <w:jc w:val="center"/>
        <w:rPr>
          <w:rFonts w:hint="eastAsia"/>
          <w:b/>
          <w:bCs/>
          <w:kern w:val="0"/>
          <w:szCs w:val="21"/>
        </w:rPr>
      </w:pPr>
      <w:r>
        <w:rPr>
          <w:rFonts w:hint="eastAsia"/>
          <w:b/>
          <w:bCs/>
          <w:kern w:val="0"/>
          <w:szCs w:val="21"/>
        </w:rPr>
        <w:t>表3.</w:t>
      </w:r>
      <w:r>
        <w:rPr>
          <w:b/>
          <w:bCs/>
          <w:kern w:val="0"/>
          <w:szCs w:val="21"/>
        </w:rPr>
        <w:t>1</w:t>
      </w:r>
      <w:r>
        <w:rPr>
          <w:rFonts w:hint="eastAsia"/>
          <w:b/>
          <w:bCs/>
          <w:kern w:val="0"/>
          <w:szCs w:val="21"/>
        </w:rPr>
        <w:t>-5 污染设施治理情况一览表</w:t>
      </w:r>
    </w:p>
    <w:tbl>
      <w:tblPr>
        <w:tblStyle w:val="31"/>
        <w:tblW w:w="84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134"/>
        <w:gridCol w:w="1235"/>
        <w:gridCol w:w="1536"/>
        <w:gridCol w:w="1118"/>
        <w:gridCol w:w="1396"/>
        <w:gridCol w:w="15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534" w:type="dxa"/>
            <w:noWrap w:val="0"/>
            <w:vAlign w:val="center"/>
          </w:tcPr>
          <w:p>
            <w:pPr>
              <w:spacing w:line="240" w:lineRule="exact"/>
              <w:jc w:val="center"/>
              <w:rPr>
                <w:sz w:val="21"/>
              </w:rPr>
            </w:pPr>
            <w:r>
              <w:rPr>
                <w:sz w:val="21"/>
              </w:rPr>
              <w:t>类别</w:t>
            </w:r>
          </w:p>
        </w:tc>
        <w:tc>
          <w:tcPr>
            <w:tcW w:w="1134" w:type="dxa"/>
            <w:noWrap w:val="0"/>
            <w:vAlign w:val="center"/>
          </w:tcPr>
          <w:p>
            <w:pPr>
              <w:spacing w:line="240" w:lineRule="exact"/>
              <w:rPr>
                <w:sz w:val="21"/>
              </w:rPr>
            </w:pPr>
            <w:r>
              <w:rPr>
                <w:sz w:val="21"/>
              </w:rPr>
              <w:t>排放源</w:t>
            </w:r>
          </w:p>
        </w:tc>
        <w:tc>
          <w:tcPr>
            <w:tcW w:w="1235" w:type="dxa"/>
            <w:noWrap w:val="0"/>
            <w:vAlign w:val="center"/>
          </w:tcPr>
          <w:p>
            <w:pPr>
              <w:spacing w:line="240" w:lineRule="exact"/>
              <w:jc w:val="center"/>
              <w:rPr>
                <w:sz w:val="21"/>
              </w:rPr>
            </w:pPr>
            <w:r>
              <w:rPr>
                <w:sz w:val="21"/>
              </w:rPr>
              <w:t>主要污染物</w:t>
            </w:r>
          </w:p>
        </w:tc>
        <w:tc>
          <w:tcPr>
            <w:tcW w:w="1536" w:type="dxa"/>
            <w:noWrap w:val="0"/>
            <w:vAlign w:val="center"/>
          </w:tcPr>
          <w:p>
            <w:pPr>
              <w:spacing w:line="240" w:lineRule="exact"/>
              <w:rPr>
                <w:sz w:val="21"/>
              </w:rPr>
            </w:pPr>
            <w:r>
              <w:rPr>
                <w:sz w:val="21"/>
              </w:rPr>
              <w:t>产生浓度/量</w:t>
            </w:r>
          </w:p>
        </w:tc>
        <w:tc>
          <w:tcPr>
            <w:tcW w:w="1118" w:type="dxa"/>
            <w:noWrap w:val="0"/>
            <w:vAlign w:val="center"/>
          </w:tcPr>
          <w:p>
            <w:pPr>
              <w:spacing w:line="240" w:lineRule="exact"/>
              <w:jc w:val="center"/>
              <w:rPr>
                <w:sz w:val="21"/>
              </w:rPr>
            </w:pPr>
            <w:r>
              <w:rPr>
                <w:sz w:val="21"/>
              </w:rPr>
              <w:t>治理措施</w:t>
            </w:r>
          </w:p>
        </w:tc>
        <w:tc>
          <w:tcPr>
            <w:tcW w:w="1396" w:type="dxa"/>
            <w:noWrap w:val="0"/>
            <w:vAlign w:val="center"/>
          </w:tcPr>
          <w:p>
            <w:pPr>
              <w:spacing w:line="240" w:lineRule="exact"/>
              <w:jc w:val="center"/>
              <w:rPr>
                <w:sz w:val="21"/>
              </w:rPr>
            </w:pPr>
            <w:r>
              <w:rPr>
                <w:sz w:val="21"/>
              </w:rPr>
              <w:t>排放浓度/量</w:t>
            </w:r>
          </w:p>
        </w:tc>
        <w:tc>
          <w:tcPr>
            <w:tcW w:w="1535" w:type="dxa"/>
            <w:noWrap w:val="0"/>
            <w:vAlign w:val="center"/>
          </w:tcPr>
          <w:p>
            <w:pPr>
              <w:spacing w:line="240" w:lineRule="exact"/>
              <w:jc w:val="center"/>
              <w:rPr>
                <w:sz w:val="21"/>
              </w:rPr>
            </w:pPr>
            <w:r>
              <w:rPr>
                <w:rFonts w:hint="eastAsia"/>
                <w:sz w:val="21"/>
              </w:rPr>
              <w:t>执行标准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534" w:type="dxa"/>
            <w:noWrap w:val="0"/>
            <w:vAlign w:val="center"/>
          </w:tcPr>
          <w:p>
            <w:pPr>
              <w:spacing w:line="240" w:lineRule="exact"/>
              <w:rPr>
                <w:sz w:val="21"/>
              </w:rPr>
            </w:pPr>
            <w:r>
              <w:rPr>
                <w:rFonts w:hint="eastAsia"/>
                <w:sz w:val="21"/>
              </w:rPr>
              <w:t>废气</w:t>
            </w:r>
          </w:p>
        </w:tc>
        <w:tc>
          <w:tcPr>
            <w:tcW w:w="1134" w:type="dxa"/>
            <w:noWrap w:val="0"/>
            <w:vAlign w:val="center"/>
          </w:tcPr>
          <w:p>
            <w:pPr>
              <w:spacing w:line="240" w:lineRule="exact"/>
              <w:jc w:val="center"/>
              <w:rPr>
                <w:rFonts w:ascii="宋体" w:hAnsi="宋体"/>
                <w:sz w:val="21"/>
              </w:rPr>
            </w:pPr>
            <w:r>
              <w:rPr>
                <w:rFonts w:hint="eastAsia" w:ascii="宋体" w:hAnsi="宋体"/>
                <w:color w:val="000000"/>
                <w:kern w:val="21"/>
                <w:sz w:val="21"/>
              </w:rPr>
              <w:t>油罐大小呼吸、加油机作业</w:t>
            </w:r>
          </w:p>
        </w:tc>
        <w:tc>
          <w:tcPr>
            <w:tcW w:w="1235" w:type="dxa"/>
            <w:noWrap w:val="0"/>
            <w:vAlign w:val="center"/>
          </w:tcPr>
          <w:p>
            <w:pPr>
              <w:spacing w:line="240" w:lineRule="exact"/>
              <w:jc w:val="center"/>
              <w:rPr>
                <w:color w:val="000000"/>
                <w:sz w:val="21"/>
              </w:rPr>
            </w:pPr>
            <w:r>
              <w:rPr>
                <w:color w:val="FF0000"/>
                <w:sz w:val="21"/>
                <w:highlight w:val="none"/>
              </w:rPr>
              <w:t>非甲烷总烃</w:t>
            </w:r>
          </w:p>
        </w:tc>
        <w:tc>
          <w:tcPr>
            <w:tcW w:w="1536" w:type="dxa"/>
            <w:noWrap w:val="0"/>
            <w:vAlign w:val="center"/>
          </w:tcPr>
          <w:p>
            <w:pPr>
              <w:spacing w:line="240" w:lineRule="exact"/>
              <w:jc w:val="center"/>
              <w:rPr>
                <w:color w:val="000000"/>
                <w:sz w:val="21"/>
              </w:rPr>
            </w:pPr>
            <w:r>
              <w:rPr>
                <w:rFonts w:hint="eastAsia" w:eastAsia="仿宋_GB2312"/>
                <w:color w:val="FF0000"/>
                <w:spacing w:val="3"/>
                <w:sz w:val="21"/>
                <w:highlight w:val="none"/>
                <w:lang w:val="en-US" w:eastAsia="zh-CN"/>
              </w:rPr>
              <w:t>34.5</w:t>
            </w:r>
            <w:r>
              <w:rPr>
                <w:rFonts w:eastAsia="仿宋_GB2312"/>
                <w:color w:val="FF0000"/>
                <w:spacing w:val="3"/>
                <w:sz w:val="21"/>
                <w:highlight w:val="none"/>
              </w:rPr>
              <w:t>t/a</w:t>
            </w:r>
          </w:p>
        </w:tc>
        <w:tc>
          <w:tcPr>
            <w:tcW w:w="1118" w:type="dxa"/>
            <w:noWrap w:val="0"/>
            <w:vAlign w:val="center"/>
          </w:tcPr>
          <w:p>
            <w:pPr>
              <w:spacing w:line="240" w:lineRule="exact"/>
              <w:jc w:val="center"/>
              <w:rPr>
                <w:rFonts w:hint="eastAsia" w:ascii="宋体" w:hAnsi="宋体"/>
                <w:color w:val="000000"/>
                <w:sz w:val="21"/>
              </w:rPr>
            </w:pPr>
            <w:r>
              <w:rPr>
                <w:rFonts w:hint="eastAsia" w:ascii="宋体" w:hAnsi="宋体"/>
                <w:color w:val="FF0000"/>
                <w:sz w:val="22"/>
                <w:szCs w:val="20"/>
                <w:highlight w:val="none"/>
              </w:rPr>
              <w:t>密闭加卸油油气回收系统</w:t>
            </w:r>
          </w:p>
        </w:tc>
        <w:tc>
          <w:tcPr>
            <w:tcW w:w="1396" w:type="dxa"/>
            <w:noWrap w:val="0"/>
            <w:vAlign w:val="center"/>
          </w:tcPr>
          <w:p>
            <w:pPr>
              <w:spacing w:line="240" w:lineRule="exact"/>
              <w:jc w:val="center"/>
              <w:rPr>
                <w:color w:val="000000"/>
                <w:sz w:val="21"/>
              </w:rPr>
            </w:pPr>
            <w:r>
              <w:rPr>
                <w:rFonts w:hint="eastAsia" w:eastAsia="仿宋_GB2312"/>
                <w:color w:val="FF0000"/>
                <w:spacing w:val="3"/>
                <w:sz w:val="21"/>
                <w:highlight w:val="none"/>
                <w:lang w:val="en-US" w:eastAsia="zh-CN"/>
              </w:rPr>
              <w:t>1.98</w:t>
            </w:r>
            <w:r>
              <w:rPr>
                <w:rFonts w:eastAsia="仿宋_GB2312"/>
                <w:color w:val="FF0000"/>
                <w:spacing w:val="3"/>
                <w:sz w:val="21"/>
                <w:highlight w:val="none"/>
              </w:rPr>
              <w:t>t/a</w:t>
            </w:r>
          </w:p>
        </w:tc>
        <w:tc>
          <w:tcPr>
            <w:tcW w:w="1535" w:type="dxa"/>
            <w:noWrap w:val="0"/>
            <w:vAlign w:val="center"/>
          </w:tcPr>
          <w:p>
            <w:pPr>
              <w:spacing w:line="240" w:lineRule="exact"/>
              <w:jc w:val="center"/>
              <w:rPr>
                <w:sz w:val="21"/>
              </w:rPr>
            </w:pPr>
            <w:r>
              <w:rPr>
                <w:rFonts w:hAnsi="宋体"/>
                <w:color w:val="000000"/>
                <w:sz w:val="21"/>
              </w:rPr>
              <w:t>《加油站大气污染排放标准》（</w:t>
            </w:r>
            <w:r>
              <w:rPr>
                <w:color w:val="000000"/>
                <w:sz w:val="21"/>
              </w:rPr>
              <w:t>GB20952-20017</w:t>
            </w:r>
            <w:r>
              <w:rPr>
                <w:rFonts w:hAnsi="宋体"/>
                <w:color w:val="000000"/>
                <w:sz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534" w:type="dxa"/>
            <w:vMerge w:val="restart"/>
            <w:noWrap w:val="0"/>
            <w:vAlign w:val="center"/>
          </w:tcPr>
          <w:p>
            <w:pPr>
              <w:spacing w:line="240" w:lineRule="exact"/>
              <w:rPr>
                <w:color w:val="FF0000"/>
                <w:sz w:val="21"/>
              </w:rPr>
            </w:pPr>
            <w:r>
              <w:rPr>
                <w:rFonts w:hint="eastAsia"/>
                <w:color w:val="FF0000"/>
                <w:sz w:val="21"/>
              </w:rPr>
              <w:t>废水</w:t>
            </w:r>
          </w:p>
        </w:tc>
        <w:tc>
          <w:tcPr>
            <w:tcW w:w="1134" w:type="dxa"/>
            <w:vMerge w:val="restart"/>
            <w:noWrap w:val="0"/>
            <w:vAlign w:val="center"/>
          </w:tcPr>
          <w:p>
            <w:pPr>
              <w:spacing w:line="240" w:lineRule="exact"/>
              <w:jc w:val="center"/>
              <w:rPr>
                <w:rFonts w:hint="eastAsia"/>
                <w:color w:val="FF0000"/>
                <w:sz w:val="21"/>
              </w:rPr>
            </w:pPr>
            <w:r>
              <w:rPr>
                <w:color w:val="FF0000"/>
                <w:sz w:val="21"/>
              </w:rPr>
              <w:t>生活</w:t>
            </w:r>
          </w:p>
          <w:p>
            <w:pPr>
              <w:spacing w:line="240" w:lineRule="exact"/>
              <w:jc w:val="center"/>
              <w:rPr>
                <w:color w:val="FF0000"/>
                <w:sz w:val="21"/>
              </w:rPr>
            </w:pPr>
            <w:r>
              <w:rPr>
                <w:color w:val="FF0000"/>
                <w:sz w:val="21"/>
              </w:rPr>
              <w:t>废水</w:t>
            </w:r>
          </w:p>
        </w:tc>
        <w:tc>
          <w:tcPr>
            <w:tcW w:w="1235" w:type="dxa"/>
            <w:noWrap w:val="0"/>
            <w:vAlign w:val="center"/>
          </w:tcPr>
          <w:p>
            <w:pPr>
              <w:adjustRightInd w:val="0"/>
              <w:snapToGrid w:val="0"/>
              <w:jc w:val="center"/>
              <w:rPr>
                <w:rFonts w:eastAsia="仿宋_GB2312"/>
                <w:color w:val="FF0000"/>
                <w:sz w:val="21"/>
              </w:rPr>
            </w:pPr>
            <w:r>
              <w:rPr>
                <w:rFonts w:eastAsia="仿宋_GB2312"/>
                <w:color w:val="FF0000"/>
                <w:sz w:val="21"/>
              </w:rPr>
              <w:t>COD</w:t>
            </w:r>
            <w:r>
              <w:rPr>
                <w:rFonts w:eastAsia="仿宋_GB2312"/>
                <w:color w:val="FF0000"/>
                <w:sz w:val="21"/>
                <w:vertAlign w:val="subscript"/>
              </w:rPr>
              <w:t>Cr</w:t>
            </w:r>
          </w:p>
        </w:tc>
        <w:tc>
          <w:tcPr>
            <w:tcW w:w="1536" w:type="dxa"/>
            <w:noWrap w:val="0"/>
            <w:vAlign w:val="center"/>
          </w:tcPr>
          <w:p>
            <w:pPr>
              <w:adjustRightInd w:val="0"/>
              <w:snapToGrid w:val="0"/>
              <w:jc w:val="center"/>
              <w:rPr>
                <w:rFonts w:eastAsia="仿宋_GB2312"/>
                <w:color w:val="FF0000"/>
                <w:spacing w:val="3"/>
                <w:sz w:val="21"/>
              </w:rPr>
            </w:pPr>
            <w:r>
              <w:rPr>
                <w:rFonts w:eastAsia="仿宋_GB2312"/>
                <w:color w:val="FF0000"/>
                <w:spacing w:val="3"/>
                <w:sz w:val="21"/>
              </w:rPr>
              <w:t>0.25 t/a</w:t>
            </w:r>
          </w:p>
        </w:tc>
        <w:tc>
          <w:tcPr>
            <w:tcW w:w="1118" w:type="dxa"/>
            <w:vMerge w:val="restart"/>
            <w:noWrap w:val="0"/>
            <w:vAlign w:val="center"/>
          </w:tcPr>
          <w:p>
            <w:pPr>
              <w:spacing w:line="240" w:lineRule="exact"/>
              <w:jc w:val="center"/>
              <w:rPr>
                <w:rFonts w:hint="eastAsia" w:eastAsia="宋体"/>
                <w:color w:val="FF0000"/>
                <w:sz w:val="21"/>
                <w:lang w:eastAsia="zh-CN"/>
              </w:rPr>
            </w:pPr>
            <w:r>
              <w:rPr>
                <w:rFonts w:hint="eastAsia"/>
                <w:color w:val="000000"/>
                <w:sz w:val="21"/>
              </w:rPr>
              <w:t>隔油沉淀池，化粪池</w:t>
            </w:r>
          </w:p>
        </w:tc>
        <w:tc>
          <w:tcPr>
            <w:tcW w:w="1396" w:type="dxa"/>
            <w:noWrap w:val="0"/>
            <w:vAlign w:val="center"/>
          </w:tcPr>
          <w:p>
            <w:pPr>
              <w:adjustRightInd w:val="0"/>
              <w:snapToGrid w:val="0"/>
              <w:jc w:val="center"/>
              <w:rPr>
                <w:rFonts w:hint="default" w:eastAsia="仿宋_GB2312"/>
                <w:color w:val="FF0000"/>
                <w:sz w:val="21"/>
                <w:lang w:val="en-US" w:eastAsia="zh-CN"/>
              </w:rPr>
            </w:pPr>
            <w:r>
              <w:rPr>
                <w:rFonts w:eastAsia="仿宋_GB2312"/>
                <w:color w:val="000000"/>
                <w:sz w:val="21"/>
              </w:rPr>
              <w:t>0.22</w:t>
            </w:r>
          </w:p>
        </w:tc>
        <w:tc>
          <w:tcPr>
            <w:tcW w:w="1535" w:type="dxa"/>
            <w:vMerge w:val="restart"/>
            <w:noWrap w:val="0"/>
            <w:vAlign w:val="center"/>
          </w:tcPr>
          <w:p>
            <w:pPr>
              <w:spacing w:line="240" w:lineRule="exact"/>
              <w:jc w:val="center"/>
              <w:rPr>
                <w:rFonts w:hint="default" w:eastAsia="宋体"/>
                <w:color w:val="FF0000"/>
                <w:sz w:val="21"/>
                <w:lang w:val="en-US" w:eastAsia="zh-CN"/>
              </w:rPr>
            </w:pPr>
            <w:r>
              <w:rPr>
                <w:rFonts w:hAnsi="宋体"/>
                <w:color w:val="000000"/>
                <w:kern w:val="21"/>
                <w:sz w:val="21"/>
              </w:rPr>
              <w:t>《污水综合排放标准》（</w:t>
            </w:r>
            <w:r>
              <w:rPr>
                <w:color w:val="000000"/>
                <w:kern w:val="21"/>
                <w:sz w:val="21"/>
              </w:rPr>
              <w:t>GB8978-1996</w:t>
            </w:r>
            <w:r>
              <w:rPr>
                <w:rFonts w:hAnsi="宋体"/>
                <w:color w:val="000000"/>
                <w:kern w:val="21"/>
                <w:sz w:val="21"/>
              </w:rPr>
              <w:t>）中三级标准</w:t>
            </w:r>
            <w:r>
              <w:rPr>
                <w:rFonts w:hint="eastAsia" w:hAnsi="宋体"/>
                <w:color w:val="000000"/>
                <w:kern w:val="21"/>
                <w:sz w:val="21"/>
                <w:lang w:eastAsia="zh-CN"/>
              </w:rPr>
              <w:t>及污水厂进水指标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534" w:type="dxa"/>
            <w:vMerge w:val="continue"/>
            <w:noWrap w:val="0"/>
            <w:vAlign w:val="center"/>
          </w:tcPr>
          <w:p>
            <w:pPr>
              <w:spacing w:line="240" w:lineRule="exact"/>
              <w:rPr>
                <w:rFonts w:hint="eastAsia"/>
                <w:color w:val="FF0000"/>
                <w:sz w:val="21"/>
              </w:rPr>
            </w:pPr>
          </w:p>
        </w:tc>
        <w:tc>
          <w:tcPr>
            <w:tcW w:w="1134" w:type="dxa"/>
            <w:vMerge w:val="continue"/>
            <w:noWrap w:val="0"/>
            <w:vAlign w:val="center"/>
          </w:tcPr>
          <w:p>
            <w:pPr>
              <w:spacing w:line="240" w:lineRule="exact"/>
              <w:jc w:val="center"/>
              <w:rPr>
                <w:color w:val="FF0000"/>
                <w:sz w:val="21"/>
              </w:rPr>
            </w:pPr>
          </w:p>
        </w:tc>
        <w:tc>
          <w:tcPr>
            <w:tcW w:w="1235" w:type="dxa"/>
            <w:noWrap w:val="0"/>
            <w:vAlign w:val="center"/>
          </w:tcPr>
          <w:p>
            <w:pPr>
              <w:adjustRightInd w:val="0"/>
              <w:snapToGrid w:val="0"/>
              <w:jc w:val="center"/>
              <w:rPr>
                <w:rFonts w:eastAsia="仿宋_GB2312"/>
                <w:color w:val="FF0000"/>
                <w:sz w:val="21"/>
              </w:rPr>
            </w:pPr>
            <w:r>
              <w:rPr>
                <w:rFonts w:eastAsia="仿宋_GB2312"/>
                <w:color w:val="FF0000"/>
                <w:sz w:val="21"/>
              </w:rPr>
              <w:t>BOD</w:t>
            </w:r>
            <w:r>
              <w:rPr>
                <w:rFonts w:eastAsia="仿宋_GB2312"/>
                <w:color w:val="FF0000"/>
                <w:sz w:val="21"/>
                <w:vertAlign w:val="subscript"/>
              </w:rPr>
              <w:t>5</w:t>
            </w:r>
          </w:p>
        </w:tc>
        <w:tc>
          <w:tcPr>
            <w:tcW w:w="1536" w:type="dxa"/>
            <w:noWrap w:val="0"/>
            <w:vAlign w:val="center"/>
          </w:tcPr>
          <w:p>
            <w:pPr>
              <w:adjustRightInd w:val="0"/>
              <w:snapToGrid w:val="0"/>
              <w:jc w:val="center"/>
              <w:rPr>
                <w:rFonts w:eastAsia="仿宋_GB2312"/>
                <w:color w:val="FF0000"/>
                <w:spacing w:val="3"/>
                <w:sz w:val="21"/>
              </w:rPr>
            </w:pPr>
            <w:r>
              <w:rPr>
                <w:rFonts w:eastAsia="仿宋_GB2312"/>
                <w:color w:val="FF0000"/>
                <w:spacing w:val="3"/>
                <w:sz w:val="21"/>
              </w:rPr>
              <w:t>0.05 t/a</w:t>
            </w:r>
          </w:p>
        </w:tc>
        <w:tc>
          <w:tcPr>
            <w:tcW w:w="1118" w:type="dxa"/>
            <w:vMerge w:val="continue"/>
            <w:noWrap w:val="0"/>
            <w:vAlign w:val="center"/>
          </w:tcPr>
          <w:p>
            <w:pPr>
              <w:spacing w:line="240" w:lineRule="exact"/>
              <w:jc w:val="center"/>
              <w:rPr>
                <w:color w:val="000000"/>
                <w:sz w:val="21"/>
              </w:rPr>
            </w:pPr>
          </w:p>
        </w:tc>
        <w:tc>
          <w:tcPr>
            <w:tcW w:w="1396" w:type="dxa"/>
            <w:noWrap w:val="0"/>
            <w:vAlign w:val="center"/>
          </w:tcPr>
          <w:p>
            <w:pPr>
              <w:adjustRightInd w:val="0"/>
              <w:snapToGrid w:val="0"/>
              <w:jc w:val="center"/>
              <w:rPr>
                <w:rFonts w:eastAsia="仿宋_GB2312"/>
                <w:color w:val="000000"/>
                <w:sz w:val="21"/>
              </w:rPr>
            </w:pPr>
            <w:r>
              <w:rPr>
                <w:rFonts w:eastAsia="仿宋_GB2312"/>
                <w:color w:val="000000"/>
                <w:sz w:val="21"/>
              </w:rPr>
              <w:t>0.04</w:t>
            </w:r>
          </w:p>
        </w:tc>
        <w:tc>
          <w:tcPr>
            <w:tcW w:w="1535" w:type="dxa"/>
            <w:vMerge w:val="continue"/>
            <w:noWrap w:val="0"/>
            <w:vAlign w:val="center"/>
          </w:tcPr>
          <w:p>
            <w:pPr>
              <w:spacing w:line="240" w:lineRule="exact"/>
              <w:rPr>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534" w:type="dxa"/>
            <w:vMerge w:val="continue"/>
            <w:noWrap w:val="0"/>
            <w:vAlign w:val="center"/>
          </w:tcPr>
          <w:p>
            <w:pPr>
              <w:spacing w:line="240" w:lineRule="exact"/>
              <w:rPr>
                <w:rFonts w:hint="eastAsia"/>
                <w:color w:val="FF0000"/>
                <w:sz w:val="21"/>
              </w:rPr>
            </w:pPr>
          </w:p>
        </w:tc>
        <w:tc>
          <w:tcPr>
            <w:tcW w:w="1134" w:type="dxa"/>
            <w:vMerge w:val="continue"/>
            <w:noWrap w:val="0"/>
            <w:vAlign w:val="center"/>
          </w:tcPr>
          <w:p>
            <w:pPr>
              <w:spacing w:line="240" w:lineRule="exact"/>
              <w:jc w:val="center"/>
              <w:rPr>
                <w:color w:val="FF0000"/>
                <w:sz w:val="21"/>
              </w:rPr>
            </w:pPr>
          </w:p>
        </w:tc>
        <w:tc>
          <w:tcPr>
            <w:tcW w:w="1235" w:type="dxa"/>
            <w:noWrap w:val="0"/>
            <w:vAlign w:val="center"/>
          </w:tcPr>
          <w:p>
            <w:pPr>
              <w:adjustRightInd w:val="0"/>
              <w:snapToGrid w:val="0"/>
              <w:jc w:val="center"/>
              <w:rPr>
                <w:rFonts w:eastAsia="仿宋_GB2312"/>
                <w:color w:val="FF0000"/>
                <w:sz w:val="21"/>
              </w:rPr>
            </w:pPr>
            <w:r>
              <w:rPr>
                <w:rFonts w:eastAsia="仿宋_GB2312"/>
                <w:color w:val="FF0000"/>
                <w:sz w:val="21"/>
              </w:rPr>
              <w:t>NH</w:t>
            </w:r>
            <w:r>
              <w:rPr>
                <w:rFonts w:eastAsia="仿宋_GB2312"/>
                <w:color w:val="FF0000"/>
                <w:sz w:val="21"/>
                <w:vertAlign w:val="subscript"/>
              </w:rPr>
              <w:t>3</w:t>
            </w:r>
            <w:r>
              <w:rPr>
                <w:rFonts w:eastAsia="仿宋_GB2312"/>
                <w:color w:val="FF0000"/>
                <w:sz w:val="21"/>
              </w:rPr>
              <w:t>-N</w:t>
            </w:r>
          </w:p>
        </w:tc>
        <w:tc>
          <w:tcPr>
            <w:tcW w:w="1536" w:type="dxa"/>
            <w:noWrap w:val="0"/>
            <w:vAlign w:val="center"/>
          </w:tcPr>
          <w:p>
            <w:pPr>
              <w:adjustRightInd w:val="0"/>
              <w:snapToGrid w:val="0"/>
              <w:jc w:val="center"/>
              <w:rPr>
                <w:rFonts w:eastAsia="仿宋_GB2312"/>
                <w:color w:val="FF0000"/>
                <w:spacing w:val="3"/>
                <w:sz w:val="21"/>
              </w:rPr>
            </w:pPr>
            <w:r>
              <w:rPr>
                <w:rFonts w:eastAsia="仿宋_GB2312"/>
                <w:color w:val="FF0000"/>
                <w:spacing w:val="3"/>
                <w:sz w:val="21"/>
              </w:rPr>
              <w:t>0.01 t/a</w:t>
            </w:r>
          </w:p>
        </w:tc>
        <w:tc>
          <w:tcPr>
            <w:tcW w:w="1118" w:type="dxa"/>
            <w:vMerge w:val="continue"/>
            <w:noWrap w:val="0"/>
            <w:vAlign w:val="center"/>
          </w:tcPr>
          <w:p>
            <w:pPr>
              <w:spacing w:line="240" w:lineRule="exact"/>
              <w:jc w:val="center"/>
              <w:rPr>
                <w:color w:val="000000"/>
                <w:sz w:val="21"/>
              </w:rPr>
            </w:pPr>
          </w:p>
        </w:tc>
        <w:tc>
          <w:tcPr>
            <w:tcW w:w="1396" w:type="dxa"/>
            <w:noWrap w:val="0"/>
            <w:vAlign w:val="center"/>
          </w:tcPr>
          <w:p>
            <w:pPr>
              <w:adjustRightInd w:val="0"/>
              <w:snapToGrid w:val="0"/>
              <w:jc w:val="center"/>
              <w:rPr>
                <w:rFonts w:eastAsia="仿宋_GB2312"/>
                <w:color w:val="000000"/>
                <w:sz w:val="21"/>
              </w:rPr>
            </w:pPr>
            <w:r>
              <w:rPr>
                <w:rFonts w:eastAsia="仿宋_GB2312"/>
                <w:color w:val="000000"/>
                <w:sz w:val="21"/>
              </w:rPr>
              <w:t>0.01</w:t>
            </w:r>
          </w:p>
        </w:tc>
        <w:tc>
          <w:tcPr>
            <w:tcW w:w="1535" w:type="dxa"/>
            <w:vMerge w:val="continue"/>
            <w:noWrap w:val="0"/>
            <w:vAlign w:val="center"/>
          </w:tcPr>
          <w:p>
            <w:pPr>
              <w:spacing w:line="240" w:lineRule="exact"/>
              <w:rPr>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534" w:type="dxa"/>
            <w:vMerge w:val="continue"/>
            <w:noWrap w:val="0"/>
            <w:vAlign w:val="center"/>
          </w:tcPr>
          <w:p>
            <w:pPr>
              <w:spacing w:line="240" w:lineRule="exact"/>
              <w:rPr>
                <w:rFonts w:hint="eastAsia"/>
                <w:color w:val="FF0000"/>
                <w:sz w:val="21"/>
              </w:rPr>
            </w:pPr>
          </w:p>
        </w:tc>
        <w:tc>
          <w:tcPr>
            <w:tcW w:w="1134" w:type="dxa"/>
            <w:vMerge w:val="continue"/>
            <w:noWrap w:val="0"/>
            <w:vAlign w:val="center"/>
          </w:tcPr>
          <w:p>
            <w:pPr>
              <w:spacing w:line="240" w:lineRule="exact"/>
              <w:jc w:val="center"/>
              <w:rPr>
                <w:color w:val="FF0000"/>
                <w:sz w:val="21"/>
              </w:rPr>
            </w:pPr>
          </w:p>
        </w:tc>
        <w:tc>
          <w:tcPr>
            <w:tcW w:w="1235" w:type="dxa"/>
            <w:noWrap w:val="0"/>
            <w:vAlign w:val="center"/>
          </w:tcPr>
          <w:p>
            <w:pPr>
              <w:adjustRightInd w:val="0"/>
              <w:snapToGrid w:val="0"/>
              <w:jc w:val="center"/>
              <w:rPr>
                <w:rFonts w:eastAsia="仿宋_GB2312"/>
                <w:color w:val="FF0000"/>
                <w:sz w:val="21"/>
              </w:rPr>
            </w:pPr>
            <w:r>
              <w:rPr>
                <w:rFonts w:eastAsia="仿宋_GB2312"/>
                <w:color w:val="FF0000"/>
                <w:sz w:val="21"/>
              </w:rPr>
              <w:t>SS</w:t>
            </w:r>
          </w:p>
        </w:tc>
        <w:tc>
          <w:tcPr>
            <w:tcW w:w="1536" w:type="dxa"/>
            <w:noWrap w:val="0"/>
            <w:vAlign w:val="center"/>
          </w:tcPr>
          <w:p>
            <w:pPr>
              <w:adjustRightInd w:val="0"/>
              <w:snapToGrid w:val="0"/>
              <w:jc w:val="center"/>
              <w:rPr>
                <w:rFonts w:eastAsia="仿宋_GB2312"/>
                <w:color w:val="FF0000"/>
                <w:spacing w:val="3"/>
                <w:sz w:val="21"/>
              </w:rPr>
            </w:pPr>
            <w:r>
              <w:rPr>
                <w:rFonts w:eastAsia="仿宋_GB2312"/>
                <w:color w:val="FF0000"/>
                <w:spacing w:val="3"/>
                <w:sz w:val="21"/>
              </w:rPr>
              <w:t>0.65 t/a</w:t>
            </w:r>
          </w:p>
        </w:tc>
        <w:tc>
          <w:tcPr>
            <w:tcW w:w="1118" w:type="dxa"/>
            <w:vMerge w:val="continue"/>
            <w:noWrap w:val="0"/>
            <w:vAlign w:val="center"/>
          </w:tcPr>
          <w:p>
            <w:pPr>
              <w:spacing w:line="240" w:lineRule="exact"/>
              <w:jc w:val="center"/>
              <w:rPr>
                <w:color w:val="000000"/>
                <w:sz w:val="21"/>
              </w:rPr>
            </w:pPr>
          </w:p>
        </w:tc>
        <w:tc>
          <w:tcPr>
            <w:tcW w:w="1396" w:type="dxa"/>
            <w:noWrap w:val="0"/>
            <w:vAlign w:val="center"/>
          </w:tcPr>
          <w:p>
            <w:pPr>
              <w:adjustRightInd w:val="0"/>
              <w:snapToGrid w:val="0"/>
              <w:jc w:val="center"/>
              <w:rPr>
                <w:rFonts w:eastAsia="仿宋_GB2312"/>
                <w:color w:val="000000"/>
                <w:sz w:val="21"/>
              </w:rPr>
            </w:pPr>
            <w:r>
              <w:rPr>
                <w:rFonts w:eastAsia="仿宋_GB2312"/>
                <w:color w:val="000000"/>
                <w:sz w:val="21"/>
              </w:rPr>
              <w:t>0.14</w:t>
            </w:r>
          </w:p>
        </w:tc>
        <w:tc>
          <w:tcPr>
            <w:tcW w:w="1535" w:type="dxa"/>
            <w:vMerge w:val="continue"/>
            <w:noWrap w:val="0"/>
            <w:vAlign w:val="center"/>
          </w:tcPr>
          <w:p>
            <w:pPr>
              <w:spacing w:line="240" w:lineRule="exact"/>
              <w:rPr>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534" w:type="dxa"/>
            <w:vMerge w:val="continue"/>
            <w:noWrap w:val="0"/>
            <w:vAlign w:val="center"/>
          </w:tcPr>
          <w:p>
            <w:pPr>
              <w:spacing w:line="240" w:lineRule="exact"/>
              <w:rPr>
                <w:rFonts w:hint="eastAsia"/>
                <w:color w:val="FF0000"/>
                <w:sz w:val="21"/>
              </w:rPr>
            </w:pPr>
          </w:p>
        </w:tc>
        <w:tc>
          <w:tcPr>
            <w:tcW w:w="1134" w:type="dxa"/>
            <w:vMerge w:val="continue"/>
            <w:noWrap w:val="0"/>
            <w:vAlign w:val="center"/>
          </w:tcPr>
          <w:p>
            <w:pPr>
              <w:spacing w:line="240" w:lineRule="exact"/>
              <w:jc w:val="center"/>
              <w:rPr>
                <w:color w:val="FF0000"/>
                <w:sz w:val="21"/>
              </w:rPr>
            </w:pPr>
          </w:p>
        </w:tc>
        <w:tc>
          <w:tcPr>
            <w:tcW w:w="1235" w:type="dxa"/>
            <w:noWrap w:val="0"/>
            <w:vAlign w:val="center"/>
          </w:tcPr>
          <w:p>
            <w:pPr>
              <w:adjustRightInd w:val="0"/>
              <w:snapToGrid w:val="0"/>
              <w:jc w:val="center"/>
              <w:rPr>
                <w:rFonts w:ascii="宋体" w:hAnsi="宋体"/>
                <w:color w:val="FF0000"/>
                <w:sz w:val="21"/>
              </w:rPr>
            </w:pPr>
            <w:r>
              <w:rPr>
                <w:rFonts w:ascii="宋体" w:hAnsi="宋体"/>
                <w:color w:val="FF0000"/>
                <w:sz w:val="21"/>
              </w:rPr>
              <w:t>石油类</w:t>
            </w:r>
          </w:p>
        </w:tc>
        <w:tc>
          <w:tcPr>
            <w:tcW w:w="1536" w:type="dxa"/>
            <w:noWrap w:val="0"/>
            <w:vAlign w:val="center"/>
          </w:tcPr>
          <w:p>
            <w:pPr>
              <w:adjustRightInd w:val="0"/>
              <w:snapToGrid w:val="0"/>
              <w:jc w:val="center"/>
              <w:rPr>
                <w:rFonts w:eastAsia="仿宋_GB2312"/>
                <w:color w:val="FF0000"/>
                <w:spacing w:val="3"/>
                <w:sz w:val="21"/>
              </w:rPr>
            </w:pPr>
            <w:r>
              <w:rPr>
                <w:rFonts w:eastAsia="仿宋_GB2312"/>
                <w:color w:val="FF0000"/>
                <w:spacing w:val="3"/>
                <w:sz w:val="21"/>
              </w:rPr>
              <w:t>0.12 t/a</w:t>
            </w:r>
          </w:p>
        </w:tc>
        <w:tc>
          <w:tcPr>
            <w:tcW w:w="1118" w:type="dxa"/>
            <w:vMerge w:val="continue"/>
            <w:noWrap w:val="0"/>
            <w:vAlign w:val="center"/>
          </w:tcPr>
          <w:p>
            <w:pPr>
              <w:spacing w:line="240" w:lineRule="exact"/>
              <w:jc w:val="center"/>
              <w:rPr>
                <w:color w:val="000000"/>
                <w:sz w:val="21"/>
              </w:rPr>
            </w:pPr>
          </w:p>
        </w:tc>
        <w:tc>
          <w:tcPr>
            <w:tcW w:w="1396" w:type="dxa"/>
            <w:noWrap w:val="0"/>
            <w:vAlign w:val="center"/>
          </w:tcPr>
          <w:p>
            <w:pPr>
              <w:adjustRightInd w:val="0"/>
              <w:snapToGrid w:val="0"/>
              <w:jc w:val="center"/>
              <w:rPr>
                <w:rFonts w:eastAsia="仿宋_GB2312"/>
                <w:color w:val="000000"/>
                <w:sz w:val="21"/>
              </w:rPr>
            </w:pPr>
            <w:r>
              <w:rPr>
                <w:rFonts w:eastAsia="仿宋_GB2312"/>
                <w:color w:val="000000"/>
                <w:sz w:val="21"/>
              </w:rPr>
              <w:t>0.01</w:t>
            </w:r>
          </w:p>
        </w:tc>
        <w:tc>
          <w:tcPr>
            <w:tcW w:w="1535" w:type="dxa"/>
            <w:vMerge w:val="continue"/>
            <w:noWrap w:val="0"/>
            <w:vAlign w:val="center"/>
          </w:tcPr>
          <w:p>
            <w:pPr>
              <w:spacing w:line="240" w:lineRule="exact"/>
              <w:rPr>
                <w:sz w:val="21"/>
              </w:rPr>
            </w:pPr>
          </w:p>
        </w:tc>
      </w:tr>
    </w:tbl>
    <w:p>
      <w:pPr>
        <w:spacing w:line="480" w:lineRule="exact"/>
        <w:ind w:firstLine="480" w:firstLineChars="200"/>
        <w:jc w:val="left"/>
        <w:rPr>
          <w:bCs/>
          <w:color w:val="FF0000"/>
          <w:sz w:val="24"/>
        </w:rPr>
      </w:pPr>
      <w:bookmarkStart w:id="110" w:name="_Hlk9944801"/>
      <w:bookmarkStart w:id="111" w:name="_Toc10105672"/>
      <w:r>
        <w:rPr>
          <w:bCs/>
          <w:color w:val="FF0000"/>
          <w:sz w:val="24"/>
        </w:rPr>
        <w:t>废气中</w:t>
      </w:r>
      <w:r>
        <w:rPr>
          <w:rFonts w:hint="eastAsia"/>
          <w:bCs/>
          <w:color w:val="FF0000"/>
          <w:sz w:val="24"/>
        </w:rPr>
        <w:t>非甲烷总烃排放</w:t>
      </w:r>
      <w:r>
        <w:rPr>
          <w:bCs/>
          <w:color w:val="FF0000"/>
          <w:sz w:val="24"/>
        </w:rPr>
        <w:t>均达标，若治理措施失灵或非正常运行会产生环境风险，因此考虑治理措施失灵或非正常运行</w:t>
      </w:r>
      <w:r>
        <w:rPr>
          <w:rFonts w:hint="eastAsia"/>
          <w:bCs/>
          <w:color w:val="FF0000"/>
          <w:sz w:val="24"/>
        </w:rPr>
        <w:t>情景下产生的突发环境事件。</w:t>
      </w:r>
    </w:p>
    <w:bookmarkEnd w:id="110"/>
    <w:p>
      <w:pPr>
        <w:spacing w:before="60" w:after="60" w:line="500" w:lineRule="exact"/>
        <w:outlineLvl w:val="1"/>
        <w:rPr>
          <w:rFonts w:eastAsia="黑体"/>
          <w:b/>
          <w:snapToGrid w:val="0"/>
          <w:color w:val="000000" w:themeColor="text1"/>
          <w:spacing w:val="4"/>
          <w:kern w:val="0"/>
          <w:sz w:val="28"/>
          <w:szCs w:val="30"/>
          <w14:textFill>
            <w14:solidFill>
              <w14:schemeClr w14:val="tx1"/>
            </w14:solidFill>
          </w14:textFill>
        </w:rPr>
      </w:pPr>
      <w:r>
        <w:rPr>
          <w:rFonts w:eastAsia="黑体"/>
          <w:b/>
          <w:snapToGrid w:val="0"/>
          <w:color w:val="000000" w:themeColor="text1"/>
          <w:spacing w:val="4"/>
          <w:kern w:val="0"/>
          <w:sz w:val="28"/>
          <w:szCs w:val="30"/>
          <w14:textFill>
            <w14:solidFill>
              <w14:schemeClr w14:val="tx1"/>
            </w14:solidFill>
          </w14:textFill>
        </w:rPr>
        <w:t>3.2环境风险目标确定</w:t>
      </w:r>
      <w:bookmarkEnd w:id="102"/>
      <w:bookmarkEnd w:id="103"/>
      <w:bookmarkEnd w:id="104"/>
      <w:bookmarkEnd w:id="105"/>
      <w:bookmarkEnd w:id="109"/>
      <w:bookmarkEnd w:id="111"/>
    </w:p>
    <w:p>
      <w:pPr>
        <w:spacing w:line="440" w:lineRule="exact"/>
        <w:ind w:firstLine="480" w:firstLineChars="200"/>
        <w:rPr>
          <w:rFonts w:hAnsi="宋体"/>
          <w:bCs/>
          <w:sz w:val="24"/>
        </w:rPr>
      </w:pPr>
      <w:r>
        <w:rPr>
          <w:rFonts w:hint="eastAsia" w:hAnsi="宋体"/>
          <w:bCs/>
          <w:sz w:val="24"/>
        </w:rPr>
        <w:t>企业</w:t>
      </w:r>
      <w:r>
        <w:rPr>
          <w:rFonts w:hAnsi="宋体"/>
          <w:bCs/>
          <w:sz w:val="24"/>
        </w:rPr>
        <w:t>环境风险目标为：</w:t>
      </w:r>
    </w:p>
    <w:p>
      <w:pPr>
        <w:spacing w:line="440" w:lineRule="exact"/>
        <w:ind w:firstLine="480" w:firstLineChars="200"/>
        <w:rPr>
          <w:rFonts w:hAnsi="宋体"/>
          <w:bCs/>
          <w:color w:val="FF0000"/>
          <w:sz w:val="24"/>
        </w:rPr>
      </w:pPr>
      <w:r>
        <w:rPr>
          <w:rFonts w:hint="eastAsia"/>
          <w:snapToGrid w:val="0"/>
          <w:color w:val="FF0000"/>
          <w:kern w:val="0"/>
          <w:sz w:val="24"/>
        </w:rPr>
        <w:t>1</w:t>
      </w:r>
      <w:r>
        <w:rPr>
          <w:rFonts w:hAnsi="宋体"/>
          <w:snapToGrid w:val="0"/>
          <w:color w:val="FF0000"/>
          <w:kern w:val="0"/>
          <w:sz w:val="24"/>
        </w:rPr>
        <w:t>号目标：</w:t>
      </w:r>
      <w:r>
        <w:rPr>
          <w:rFonts w:hint="eastAsia"/>
          <w:color w:val="FF0000"/>
          <w:kern w:val="0"/>
          <w:sz w:val="24"/>
        </w:rPr>
        <w:t>储罐区；</w:t>
      </w:r>
    </w:p>
    <w:p>
      <w:pPr>
        <w:spacing w:line="440" w:lineRule="exact"/>
        <w:ind w:firstLine="480" w:firstLineChars="200"/>
        <w:rPr>
          <w:snapToGrid w:val="0"/>
          <w:color w:val="000000" w:themeColor="text1"/>
          <w:kern w:val="0"/>
          <w:sz w:val="24"/>
          <w14:textFill>
            <w14:solidFill>
              <w14:schemeClr w14:val="tx1"/>
            </w14:solidFill>
          </w14:textFill>
        </w:rPr>
      </w:pPr>
      <w:r>
        <w:rPr>
          <w:rFonts w:hint="eastAsia"/>
          <w:snapToGrid w:val="0"/>
          <w:color w:val="FF0000"/>
          <w:kern w:val="0"/>
          <w:sz w:val="24"/>
        </w:rPr>
        <w:t>2</w:t>
      </w:r>
      <w:r>
        <w:rPr>
          <w:rFonts w:hAnsi="宋体"/>
          <w:snapToGrid w:val="0"/>
          <w:color w:val="FF0000"/>
          <w:kern w:val="0"/>
          <w:sz w:val="24"/>
        </w:rPr>
        <w:t>号目标：</w:t>
      </w:r>
      <w:r>
        <w:rPr>
          <w:rFonts w:hint="eastAsia" w:hAnsi="宋体"/>
          <w:snapToGrid w:val="0"/>
          <w:color w:val="FF0000"/>
          <w:kern w:val="0"/>
          <w:sz w:val="24"/>
        </w:rPr>
        <w:t>加油区</w:t>
      </w:r>
      <w:r>
        <w:rPr>
          <w:rFonts w:hint="eastAsia"/>
          <w:snapToGrid w:val="0"/>
          <w:color w:val="FF0000"/>
          <w:kern w:val="0"/>
          <w:sz w:val="24"/>
        </w:rPr>
        <w:t>。</w:t>
      </w:r>
    </w:p>
    <w:p>
      <w:pPr>
        <w:spacing w:before="60" w:after="60" w:line="500" w:lineRule="exact"/>
        <w:outlineLvl w:val="1"/>
        <w:rPr>
          <w:rFonts w:eastAsia="黑体"/>
          <w:b/>
          <w:snapToGrid w:val="0"/>
          <w:color w:val="000000" w:themeColor="text1"/>
          <w:spacing w:val="4"/>
          <w:kern w:val="0"/>
          <w:sz w:val="28"/>
          <w:szCs w:val="30"/>
          <w14:textFill>
            <w14:solidFill>
              <w14:schemeClr w14:val="tx1"/>
            </w14:solidFill>
          </w14:textFill>
        </w:rPr>
      </w:pPr>
      <w:bookmarkStart w:id="112" w:name="_Toc336595884"/>
      <w:bookmarkStart w:id="113" w:name="_Toc336596927"/>
      <w:bookmarkStart w:id="114" w:name="_Toc336595769"/>
      <w:bookmarkStart w:id="115" w:name="_Toc336595405"/>
      <w:bookmarkStart w:id="116" w:name="_Toc484163987"/>
      <w:bookmarkStart w:id="117" w:name="_Toc10105673"/>
      <w:r>
        <w:rPr>
          <w:rFonts w:eastAsia="黑体"/>
          <w:b/>
          <w:snapToGrid w:val="0"/>
          <w:color w:val="000000" w:themeColor="text1"/>
          <w:spacing w:val="4"/>
          <w:kern w:val="0"/>
          <w:sz w:val="28"/>
          <w:szCs w:val="30"/>
          <w14:textFill>
            <w14:solidFill>
              <w14:schemeClr w14:val="tx1"/>
            </w14:solidFill>
          </w14:textFill>
        </w:rPr>
        <w:t>3.3</w:t>
      </w:r>
      <w:bookmarkEnd w:id="112"/>
      <w:bookmarkEnd w:id="113"/>
      <w:bookmarkEnd w:id="114"/>
      <w:bookmarkEnd w:id="115"/>
      <w:r>
        <w:rPr>
          <w:rFonts w:hint="eastAsia" w:eastAsia="黑体"/>
          <w:b/>
          <w:snapToGrid w:val="0"/>
          <w:color w:val="000000" w:themeColor="text1"/>
          <w:spacing w:val="4"/>
          <w:kern w:val="0"/>
          <w:sz w:val="28"/>
          <w:szCs w:val="30"/>
          <w14:textFill>
            <w14:solidFill>
              <w14:schemeClr w14:val="tx1"/>
            </w14:solidFill>
          </w14:textFill>
        </w:rPr>
        <w:t>事故类型及影响分析</w:t>
      </w:r>
      <w:bookmarkEnd w:id="116"/>
      <w:bookmarkEnd w:id="117"/>
    </w:p>
    <w:p>
      <w:pPr>
        <w:topLinePunct/>
        <w:adjustRightInd w:val="0"/>
        <w:snapToGrid w:val="0"/>
        <w:spacing w:line="440" w:lineRule="exact"/>
        <w:ind w:firstLine="480" w:firstLineChars="200"/>
        <w:jc w:val="left"/>
        <w:rPr>
          <w:rFonts w:hAnsi="宋体"/>
          <w:snapToGrid w:val="0"/>
          <w:kern w:val="0"/>
          <w:sz w:val="24"/>
        </w:rPr>
      </w:pPr>
      <w:r>
        <w:rPr>
          <w:rFonts w:hAnsi="宋体"/>
          <w:snapToGrid w:val="0"/>
          <w:kern w:val="0"/>
          <w:sz w:val="24"/>
        </w:rPr>
        <w:t>依据上面的环境危险性分析，</w:t>
      </w:r>
      <w:r>
        <w:rPr>
          <w:rFonts w:hint="eastAsia"/>
          <w:bCs/>
          <w:sz w:val="24"/>
        </w:rPr>
        <w:t>公司</w:t>
      </w:r>
      <w:r>
        <w:rPr>
          <w:rFonts w:hAnsi="宋体"/>
          <w:snapToGrid w:val="0"/>
          <w:kern w:val="0"/>
          <w:sz w:val="24"/>
        </w:rPr>
        <w:t>可能存在的环境危险类型、危险表现形式、以及危害，汇总于表3.3-1。</w:t>
      </w:r>
    </w:p>
    <w:p>
      <w:pPr>
        <w:spacing w:line="440" w:lineRule="exact"/>
        <w:jc w:val="center"/>
        <w:rPr>
          <w:b/>
          <w:kern w:val="0"/>
          <w:szCs w:val="21"/>
        </w:rPr>
      </w:pPr>
      <w:r>
        <w:rPr>
          <w:b/>
          <w:kern w:val="0"/>
          <w:szCs w:val="21"/>
        </w:rPr>
        <w:t xml:space="preserve">表 3.3-1    </w:t>
      </w:r>
      <w:r>
        <w:rPr>
          <w:rFonts w:hint="eastAsia"/>
          <w:b/>
          <w:kern w:val="0"/>
          <w:szCs w:val="21"/>
        </w:rPr>
        <w:t>企业</w:t>
      </w:r>
      <w:r>
        <w:rPr>
          <w:b/>
          <w:kern w:val="0"/>
          <w:szCs w:val="21"/>
        </w:rPr>
        <w:t>环境危险源及危险因素</w:t>
      </w:r>
    </w:p>
    <w:tbl>
      <w:tblPr>
        <w:tblStyle w:val="31"/>
        <w:tblW w:w="8300"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793"/>
        <w:gridCol w:w="1494"/>
        <w:gridCol w:w="1726"/>
        <w:gridCol w:w="3287"/>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340" w:hRule="atLeast"/>
          <w:jc w:val="center"/>
        </w:trPr>
        <w:tc>
          <w:tcPr>
            <w:tcW w:w="1793" w:type="dxa"/>
            <w:vMerge w:val="restart"/>
            <w:vAlign w:val="center"/>
          </w:tcPr>
          <w:p>
            <w:pPr>
              <w:adjustRightInd w:val="0"/>
              <w:spacing w:line="280" w:lineRule="exact"/>
              <w:jc w:val="center"/>
              <w:rPr>
                <w:b/>
                <w:szCs w:val="21"/>
              </w:rPr>
            </w:pPr>
            <w:r>
              <w:rPr>
                <w:rFonts w:hAnsi="宋体"/>
                <w:b/>
                <w:szCs w:val="21"/>
              </w:rPr>
              <w:t>风险目标</w:t>
            </w:r>
          </w:p>
        </w:tc>
        <w:tc>
          <w:tcPr>
            <w:tcW w:w="1494" w:type="dxa"/>
            <w:vMerge w:val="restart"/>
            <w:vAlign w:val="center"/>
          </w:tcPr>
          <w:p>
            <w:pPr>
              <w:adjustRightInd w:val="0"/>
              <w:spacing w:line="280" w:lineRule="exact"/>
              <w:jc w:val="center"/>
              <w:rPr>
                <w:b/>
                <w:szCs w:val="21"/>
              </w:rPr>
            </w:pPr>
            <w:r>
              <w:rPr>
                <w:rFonts w:hAnsi="宋体"/>
                <w:b/>
                <w:szCs w:val="21"/>
              </w:rPr>
              <w:t>污染源</w:t>
            </w:r>
          </w:p>
        </w:tc>
        <w:tc>
          <w:tcPr>
            <w:tcW w:w="1726" w:type="dxa"/>
            <w:vMerge w:val="restart"/>
            <w:vAlign w:val="center"/>
          </w:tcPr>
          <w:p>
            <w:pPr>
              <w:adjustRightInd w:val="0"/>
              <w:snapToGrid w:val="0"/>
              <w:spacing w:line="280" w:lineRule="exact"/>
              <w:jc w:val="center"/>
              <w:rPr>
                <w:b/>
                <w:szCs w:val="21"/>
              </w:rPr>
            </w:pPr>
            <w:r>
              <w:rPr>
                <w:rFonts w:hAnsi="宋体"/>
                <w:b/>
                <w:szCs w:val="21"/>
              </w:rPr>
              <w:t>污染物质</w:t>
            </w:r>
          </w:p>
        </w:tc>
        <w:tc>
          <w:tcPr>
            <w:tcW w:w="3287" w:type="dxa"/>
            <w:vMerge w:val="restart"/>
            <w:vAlign w:val="center"/>
          </w:tcPr>
          <w:p>
            <w:pPr>
              <w:adjustRightInd w:val="0"/>
              <w:spacing w:line="280" w:lineRule="exact"/>
              <w:jc w:val="center"/>
              <w:rPr>
                <w:b/>
                <w:szCs w:val="21"/>
              </w:rPr>
            </w:pPr>
            <w:r>
              <w:rPr>
                <w:rFonts w:hAnsi="宋体"/>
                <w:b/>
                <w:szCs w:val="21"/>
              </w:rPr>
              <w:t>目标危险性</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340" w:hRule="atLeast"/>
          <w:jc w:val="center"/>
        </w:trPr>
        <w:tc>
          <w:tcPr>
            <w:tcW w:w="1793" w:type="dxa"/>
            <w:vMerge w:val="continue"/>
            <w:vAlign w:val="center"/>
          </w:tcPr>
          <w:p>
            <w:pPr>
              <w:topLinePunct/>
              <w:adjustRightInd w:val="0"/>
              <w:spacing w:line="280" w:lineRule="exact"/>
              <w:ind w:firstLine="198"/>
              <w:jc w:val="center"/>
              <w:rPr>
                <w:snapToGrid w:val="0"/>
                <w:kern w:val="0"/>
                <w:szCs w:val="21"/>
              </w:rPr>
            </w:pPr>
          </w:p>
        </w:tc>
        <w:tc>
          <w:tcPr>
            <w:tcW w:w="1494" w:type="dxa"/>
            <w:vMerge w:val="continue"/>
            <w:vAlign w:val="center"/>
          </w:tcPr>
          <w:p>
            <w:pPr>
              <w:topLinePunct/>
              <w:adjustRightInd w:val="0"/>
              <w:spacing w:line="280" w:lineRule="exact"/>
              <w:jc w:val="center"/>
              <w:rPr>
                <w:snapToGrid w:val="0"/>
                <w:kern w:val="0"/>
                <w:szCs w:val="21"/>
              </w:rPr>
            </w:pPr>
          </w:p>
        </w:tc>
        <w:tc>
          <w:tcPr>
            <w:tcW w:w="1726" w:type="dxa"/>
            <w:vMerge w:val="continue"/>
            <w:vAlign w:val="center"/>
          </w:tcPr>
          <w:p>
            <w:pPr>
              <w:topLinePunct/>
              <w:adjustRightInd w:val="0"/>
              <w:spacing w:line="280" w:lineRule="exact"/>
              <w:ind w:firstLine="198"/>
              <w:jc w:val="center"/>
              <w:rPr>
                <w:snapToGrid w:val="0"/>
                <w:kern w:val="0"/>
                <w:szCs w:val="21"/>
              </w:rPr>
            </w:pPr>
          </w:p>
        </w:tc>
        <w:tc>
          <w:tcPr>
            <w:tcW w:w="3287" w:type="dxa"/>
            <w:vMerge w:val="continue"/>
            <w:vAlign w:val="center"/>
          </w:tcPr>
          <w:p>
            <w:pPr>
              <w:topLinePunct/>
              <w:adjustRightInd w:val="0"/>
              <w:spacing w:line="280" w:lineRule="exact"/>
              <w:ind w:firstLine="198"/>
              <w:jc w:val="center"/>
              <w:rPr>
                <w:snapToGrid w:val="0"/>
                <w:kern w:val="0"/>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340" w:hRule="atLeast"/>
          <w:jc w:val="center"/>
        </w:trPr>
        <w:tc>
          <w:tcPr>
            <w:tcW w:w="1793" w:type="dxa"/>
            <w:vAlign w:val="center"/>
          </w:tcPr>
          <w:p>
            <w:pPr>
              <w:topLinePunct/>
              <w:adjustRightInd w:val="0"/>
              <w:spacing w:line="280" w:lineRule="exact"/>
              <w:jc w:val="center"/>
              <w:rPr>
                <w:snapToGrid w:val="0"/>
                <w:color w:val="000000" w:themeColor="text1"/>
                <w:kern w:val="0"/>
                <w:szCs w:val="21"/>
                <w14:textFill>
                  <w14:solidFill>
                    <w14:schemeClr w14:val="tx1"/>
                  </w14:solidFill>
                </w14:textFill>
              </w:rPr>
            </w:pPr>
            <w:r>
              <w:rPr>
                <w:rFonts w:hint="eastAsia"/>
                <w:snapToGrid w:val="0"/>
                <w:color w:val="000000" w:themeColor="text1"/>
                <w:kern w:val="0"/>
                <w:szCs w:val="21"/>
                <w14:textFill>
                  <w14:solidFill>
                    <w14:schemeClr w14:val="tx1"/>
                  </w14:solidFill>
                </w14:textFill>
              </w:rPr>
              <w:t>1</w:t>
            </w:r>
            <w:r>
              <w:rPr>
                <w:rFonts w:hAnsi="宋体"/>
                <w:snapToGrid w:val="0"/>
                <w:color w:val="000000" w:themeColor="text1"/>
                <w:kern w:val="0"/>
                <w:szCs w:val="21"/>
                <w14:textFill>
                  <w14:solidFill>
                    <w14:schemeClr w14:val="tx1"/>
                  </w14:solidFill>
                </w14:textFill>
              </w:rPr>
              <w:t>号目标</w:t>
            </w:r>
          </w:p>
          <w:p>
            <w:pPr>
              <w:topLinePunct/>
              <w:adjustRightInd w:val="0"/>
              <w:spacing w:line="280" w:lineRule="exact"/>
              <w:jc w:val="center"/>
              <w:rPr>
                <w:snapToGrid w:val="0"/>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储罐区</w:t>
            </w:r>
          </w:p>
        </w:tc>
        <w:tc>
          <w:tcPr>
            <w:tcW w:w="1494" w:type="dxa"/>
            <w:vAlign w:val="center"/>
          </w:tcPr>
          <w:p>
            <w:pPr>
              <w:topLinePunct/>
              <w:adjustRightInd w:val="0"/>
              <w:spacing w:line="280" w:lineRule="exact"/>
              <w:jc w:val="center"/>
              <w:rPr>
                <w:snapToGrid w:val="0"/>
                <w:color w:val="000000" w:themeColor="text1"/>
                <w:kern w:val="0"/>
                <w:szCs w:val="21"/>
                <w14:textFill>
                  <w14:solidFill>
                    <w14:schemeClr w14:val="tx1"/>
                  </w14:solidFill>
                </w14:textFill>
              </w:rPr>
            </w:pPr>
            <w:r>
              <w:rPr>
                <w:rFonts w:hint="eastAsia" w:hAnsi="宋体"/>
                <w:snapToGrid w:val="0"/>
                <w:color w:val="000000" w:themeColor="text1"/>
                <w:kern w:val="0"/>
                <w:szCs w:val="21"/>
                <w14:textFill>
                  <w14:solidFill>
                    <w14:schemeClr w14:val="tx1"/>
                  </w14:solidFill>
                </w14:textFill>
              </w:rPr>
              <w:t>汽油储罐区</w:t>
            </w:r>
          </w:p>
        </w:tc>
        <w:tc>
          <w:tcPr>
            <w:tcW w:w="1726" w:type="dxa"/>
            <w:vAlign w:val="center"/>
          </w:tcPr>
          <w:p>
            <w:pPr>
              <w:adjustRightInd w:val="0"/>
              <w:spacing w:line="280" w:lineRule="exact"/>
              <w:jc w:val="center"/>
              <w:rPr>
                <w:snapToGrid w:val="0"/>
                <w:color w:val="000000" w:themeColor="text1"/>
                <w:kern w:val="0"/>
                <w:szCs w:val="21"/>
                <w14:textFill>
                  <w14:solidFill>
                    <w14:schemeClr w14:val="tx1"/>
                  </w14:solidFill>
                </w14:textFill>
              </w:rPr>
            </w:pPr>
            <w:r>
              <w:rPr>
                <w:rFonts w:hint="eastAsia" w:hAnsi="宋体"/>
                <w:snapToGrid w:val="0"/>
                <w:color w:val="000000" w:themeColor="text1"/>
                <w:kern w:val="0"/>
                <w:szCs w:val="21"/>
                <w14:textFill>
                  <w14:solidFill>
                    <w14:schemeClr w14:val="tx1"/>
                  </w14:solidFill>
                </w14:textFill>
              </w:rPr>
              <w:t>汽油</w:t>
            </w:r>
          </w:p>
        </w:tc>
        <w:tc>
          <w:tcPr>
            <w:tcW w:w="3287" w:type="dxa"/>
            <w:vAlign w:val="center"/>
          </w:tcPr>
          <w:p>
            <w:pPr>
              <w:topLinePunct/>
              <w:adjustRightInd w:val="0"/>
              <w:spacing w:line="280" w:lineRule="exact"/>
              <w:jc w:val="center"/>
              <w:rPr>
                <w:snapToGrid w:val="0"/>
                <w:color w:val="000000" w:themeColor="text1"/>
                <w:kern w:val="0"/>
                <w:szCs w:val="21"/>
                <w14:textFill>
                  <w14:solidFill>
                    <w14:schemeClr w14:val="tx1"/>
                  </w14:solidFill>
                </w14:textFill>
              </w:rPr>
            </w:pPr>
            <w:r>
              <w:rPr>
                <w:rFonts w:hint="eastAsia" w:hAnsi="宋体"/>
                <w:snapToGrid w:val="0"/>
                <w:color w:val="000000" w:themeColor="text1"/>
                <w:kern w:val="0"/>
                <w:szCs w:val="21"/>
                <w14:textFill>
                  <w14:solidFill>
                    <w14:schemeClr w14:val="tx1"/>
                  </w14:solidFill>
                </w14:textFill>
              </w:rPr>
              <w:t>汽油</w:t>
            </w:r>
            <w:r>
              <w:rPr>
                <w:rFonts w:hint="eastAsia"/>
                <w:color w:val="000000" w:themeColor="text1"/>
                <w:kern w:val="0"/>
                <w:szCs w:val="21"/>
                <w14:textFill>
                  <w14:solidFill>
                    <w14:schemeClr w14:val="tx1"/>
                  </w14:solidFill>
                </w14:textFill>
              </w:rPr>
              <w:t>泄露后遇火源可能发生火灾爆炸事故，燃烧</w:t>
            </w:r>
            <w:r>
              <w:rPr>
                <w:color w:val="000000" w:themeColor="text1"/>
                <w:kern w:val="0"/>
                <w:szCs w:val="21"/>
                <w14:textFill>
                  <w14:solidFill>
                    <w14:schemeClr w14:val="tx1"/>
                  </w14:solidFill>
                </w14:textFill>
              </w:rPr>
              <w:t>产生的</w:t>
            </w:r>
            <w:r>
              <w:rPr>
                <w:rFonts w:hint="eastAsia"/>
                <w:color w:val="000000" w:themeColor="text1"/>
                <w:kern w:val="0"/>
                <w:szCs w:val="21"/>
                <w14:textFill>
                  <w14:solidFill>
                    <w14:schemeClr w14:val="tx1"/>
                  </w14:solidFill>
                </w14:textFill>
              </w:rPr>
              <w:t>C</w:t>
            </w:r>
            <w:r>
              <w:rPr>
                <w:color w:val="000000" w:themeColor="text1"/>
                <w:kern w:val="0"/>
                <w:szCs w:val="21"/>
                <w14:textFill>
                  <w14:solidFill>
                    <w14:schemeClr w14:val="tx1"/>
                  </w14:solidFill>
                </w14:textFill>
              </w:rPr>
              <w:t>O</w:t>
            </w:r>
            <w:r>
              <w:rPr>
                <w:color w:val="000000" w:themeColor="text1"/>
                <w:kern w:val="0"/>
                <w:szCs w:val="21"/>
                <w:vertAlign w:val="subscript"/>
                <w14:textFill>
                  <w14:solidFill>
                    <w14:schemeClr w14:val="tx1"/>
                  </w14:solidFill>
                </w14:textFill>
              </w:rPr>
              <w:t>2</w:t>
            </w:r>
            <w:r>
              <w:rPr>
                <w:color w:val="000000" w:themeColor="text1"/>
                <w:kern w:val="0"/>
                <w:szCs w:val="21"/>
                <w14:textFill>
                  <w14:solidFill>
                    <w14:schemeClr w14:val="tx1"/>
                  </w14:solidFill>
                </w14:textFill>
              </w:rPr>
              <w:t>造成环境空气污染。</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340" w:hRule="atLeast"/>
          <w:jc w:val="center"/>
        </w:trPr>
        <w:tc>
          <w:tcPr>
            <w:tcW w:w="1793" w:type="dxa"/>
            <w:vAlign w:val="center"/>
          </w:tcPr>
          <w:p>
            <w:pPr>
              <w:topLinePunct/>
              <w:adjustRightInd w:val="0"/>
              <w:spacing w:line="280" w:lineRule="exact"/>
              <w:jc w:val="center"/>
              <w:rPr>
                <w:rFonts w:hAnsi="宋体"/>
                <w:snapToGrid w:val="0"/>
                <w:color w:val="000000" w:themeColor="text1"/>
                <w:kern w:val="0"/>
                <w:szCs w:val="21"/>
                <w14:textFill>
                  <w14:solidFill>
                    <w14:schemeClr w14:val="tx1"/>
                  </w14:solidFill>
                </w14:textFill>
              </w:rPr>
            </w:pPr>
            <w:r>
              <w:rPr>
                <w:rFonts w:hint="eastAsia"/>
                <w:snapToGrid w:val="0"/>
                <w:color w:val="000000" w:themeColor="text1"/>
                <w:kern w:val="0"/>
                <w:szCs w:val="21"/>
                <w14:textFill>
                  <w14:solidFill>
                    <w14:schemeClr w14:val="tx1"/>
                  </w14:solidFill>
                </w14:textFill>
              </w:rPr>
              <w:t>2</w:t>
            </w:r>
            <w:r>
              <w:rPr>
                <w:rFonts w:hAnsi="宋体"/>
                <w:snapToGrid w:val="0"/>
                <w:color w:val="000000" w:themeColor="text1"/>
                <w:kern w:val="0"/>
                <w:szCs w:val="21"/>
                <w14:textFill>
                  <w14:solidFill>
                    <w14:schemeClr w14:val="tx1"/>
                  </w14:solidFill>
                </w14:textFill>
              </w:rPr>
              <w:t>号目标</w:t>
            </w:r>
          </w:p>
          <w:p>
            <w:pPr>
              <w:topLinePunct/>
              <w:adjustRightInd w:val="0"/>
              <w:spacing w:line="280" w:lineRule="exact"/>
              <w:jc w:val="center"/>
              <w:rPr>
                <w:snapToGrid w:val="0"/>
                <w:color w:val="000000" w:themeColor="text1"/>
                <w:kern w:val="0"/>
                <w:szCs w:val="21"/>
                <w14:textFill>
                  <w14:solidFill>
                    <w14:schemeClr w14:val="tx1"/>
                  </w14:solidFill>
                </w14:textFill>
              </w:rPr>
            </w:pPr>
            <w:r>
              <w:rPr>
                <w:rFonts w:hint="eastAsia" w:hAnsi="宋体"/>
                <w:snapToGrid w:val="0"/>
                <w:color w:val="000000" w:themeColor="text1"/>
                <w:kern w:val="0"/>
                <w:szCs w:val="21"/>
                <w14:textFill>
                  <w14:solidFill>
                    <w14:schemeClr w14:val="tx1"/>
                  </w14:solidFill>
                </w14:textFill>
              </w:rPr>
              <w:t>加油区</w:t>
            </w:r>
          </w:p>
        </w:tc>
        <w:tc>
          <w:tcPr>
            <w:tcW w:w="1494" w:type="dxa"/>
            <w:vAlign w:val="center"/>
          </w:tcPr>
          <w:p>
            <w:pPr>
              <w:adjustRightInd w:val="0"/>
              <w:spacing w:line="320" w:lineRule="exact"/>
              <w:jc w:val="center"/>
              <w:rPr>
                <w:snapToGrid w:val="0"/>
                <w:color w:val="000000" w:themeColor="text1"/>
                <w:kern w:val="0"/>
                <w:szCs w:val="21"/>
                <w14:textFill>
                  <w14:solidFill>
                    <w14:schemeClr w14:val="tx1"/>
                  </w14:solidFill>
                </w14:textFill>
              </w:rPr>
            </w:pPr>
            <w:r>
              <w:rPr>
                <w:rFonts w:hint="eastAsia" w:hAnsi="宋体"/>
                <w:snapToGrid w:val="0"/>
                <w:color w:val="000000" w:themeColor="text1"/>
                <w:kern w:val="0"/>
                <w:szCs w:val="21"/>
                <w14:textFill>
                  <w14:solidFill>
                    <w14:schemeClr w14:val="tx1"/>
                  </w14:solidFill>
                </w14:textFill>
              </w:rPr>
              <w:t>汽油</w:t>
            </w:r>
          </w:p>
        </w:tc>
        <w:tc>
          <w:tcPr>
            <w:tcW w:w="1726" w:type="dxa"/>
            <w:vAlign w:val="center"/>
          </w:tcPr>
          <w:p>
            <w:pPr>
              <w:adjustRightInd w:val="0"/>
              <w:spacing w:line="320" w:lineRule="exact"/>
              <w:jc w:val="center"/>
              <w:rPr>
                <w:snapToGrid w:val="0"/>
                <w:color w:val="000000" w:themeColor="text1"/>
                <w:kern w:val="0"/>
                <w:szCs w:val="21"/>
                <w14:textFill>
                  <w14:solidFill>
                    <w14:schemeClr w14:val="tx1"/>
                  </w14:solidFill>
                </w14:textFill>
              </w:rPr>
            </w:pPr>
            <w:r>
              <w:rPr>
                <w:rFonts w:hint="eastAsia" w:hAnsi="宋体"/>
                <w:snapToGrid w:val="0"/>
                <w:color w:val="000000" w:themeColor="text1"/>
                <w:kern w:val="0"/>
                <w:szCs w:val="21"/>
                <w14:textFill>
                  <w14:solidFill>
                    <w14:schemeClr w14:val="tx1"/>
                  </w14:solidFill>
                </w14:textFill>
              </w:rPr>
              <w:t>汽油</w:t>
            </w:r>
          </w:p>
        </w:tc>
        <w:tc>
          <w:tcPr>
            <w:tcW w:w="3287" w:type="dxa"/>
            <w:vAlign w:val="center"/>
          </w:tcPr>
          <w:p>
            <w:pPr>
              <w:topLinePunct/>
              <w:adjustRightInd w:val="0"/>
              <w:spacing w:line="320" w:lineRule="exact"/>
              <w:jc w:val="center"/>
              <w:rPr>
                <w:rFonts w:hAnsi="宋体"/>
                <w:color w:val="FF0000"/>
                <w:szCs w:val="21"/>
              </w:rPr>
            </w:pPr>
            <w:r>
              <w:rPr>
                <w:color w:val="FF0000"/>
                <w:szCs w:val="21"/>
              </w:rPr>
              <w:t>火灾、爆炸，火灾产生的有毒气体飘散，引起中毒，污染大气</w:t>
            </w:r>
            <w:r>
              <w:rPr>
                <w:rFonts w:hint="eastAsia"/>
                <w:color w:val="FF0000"/>
                <w:szCs w:val="21"/>
              </w:rPr>
              <w:t>泄漏污染土壤，产生消防废水</w:t>
            </w:r>
          </w:p>
        </w:tc>
      </w:tr>
    </w:tbl>
    <w:p>
      <w:pPr>
        <w:topLinePunct/>
        <w:adjustRightInd w:val="0"/>
        <w:snapToGrid w:val="0"/>
        <w:spacing w:line="440" w:lineRule="exact"/>
        <w:jc w:val="left"/>
        <w:rPr>
          <w:rFonts w:hAnsi="宋体"/>
          <w:snapToGrid w:val="0"/>
          <w:kern w:val="0"/>
          <w:sz w:val="24"/>
        </w:rPr>
        <w:sectPr>
          <w:pgSz w:w="11906" w:h="16838"/>
          <w:pgMar w:top="1440" w:right="1800" w:bottom="1440" w:left="1800" w:header="851" w:footer="992" w:gutter="0"/>
          <w:cols w:space="425" w:num="1"/>
          <w:docGrid w:type="lines" w:linePitch="312" w:charSpace="0"/>
        </w:sectPr>
      </w:pPr>
    </w:p>
    <w:p>
      <w:pPr>
        <w:outlineLvl w:val="0"/>
        <w:rPr>
          <w:rFonts w:eastAsia="楷体"/>
          <w:b/>
          <w:snapToGrid w:val="0"/>
          <w:spacing w:val="4"/>
          <w:kern w:val="0"/>
          <w:sz w:val="30"/>
          <w:szCs w:val="32"/>
        </w:rPr>
      </w:pPr>
      <w:bookmarkStart w:id="118" w:name="_Toc10105674"/>
      <w:bookmarkStart w:id="119" w:name="_Toc484163988"/>
      <w:r>
        <w:rPr>
          <w:rFonts w:eastAsia="楷体"/>
          <w:b/>
          <w:snapToGrid w:val="0"/>
          <w:spacing w:val="4"/>
          <w:kern w:val="0"/>
          <w:sz w:val="30"/>
          <w:szCs w:val="32"/>
        </w:rPr>
        <w:t>4</w:t>
      </w:r>
      <w:r>
        <w:rPr>
          <w:rFonts w:hint="eastAsia" w:eastAsia="楷体"/>
          <w:b/>
          <w:snapToGrid w:val="0"/>
          <w:spacing w:val="4"/>
          <w:kern w:val="0"/>
          <w:sz w:val="30"/>
          <w:szCs w:val="32"/>
        </w:rPr>
        <w:t xml:space="preserve"> </w:t>
      </w:r>
      <w:r>
        <w:rPr>
          <w:rFonts w:eastAsia="楷体"/>
          <w:b/>
          <w:snapToGrid w:val="0"/>
          <w:spacing w:val="4"/>
          <w:kern w:val="0"/>
          <w:sz w:val="30"/>
          <w:szCs w:val="32"/>
        </w:rPr>
        <w:t>应急组织体系及职责</w:t>
      </w:r>
      <w:bookmarkEnd w:id="118"/>
      <w:bookmarkEnd w:id="119"/>
    </w:p>
    <w:p>
      <w:pPr>
        <w:spacing w:before="60" w:after="60" w:line="500" w:lineRule="exact"/>
        <w:outlineLvl w:val="1"/>
        <w:rPr>
          <w:rFonts w:eastAsia="黑体"/>
          <w:b/>
          <w:snapToGrid w:val="0"/>
          <w:spacing w:val="4"/>
          <w:kern w:val="0"/>
          <w:sz w:val="28"/>
          <w:szCs w:val="30"/>
        </w:rPr>
      </w:pPr>
      <w:bookmarkStart w:id="120" w:name="_Toc10105675"/>
      <w:bookmarkStart w:id="121" w:name="_Toc484163989"/>
      <w:bookmarkStart w:id="122" w:name="_Toc448154670"/>
      <w:r>
        <w:rPr>
          <w:rFonts w:hint="eastAsia" w:eastAsia="黑体"/>
          <w:b/>
          <w:snapToGrid w:val="0"/>
          <w:spacing w:val="4"/>
          <w:kern w:val="0"/>
          <w:sz w:val="28"/>
          <w:szCs w:val="30"/>
        </w:rPr>
        <w:t>4.1应急组织体系</w:t>
      </w:r>
      <w:bookmarkEnd w:id="120"/>
      <w:bookmarkEnd w:id="121"/>
      <w:bookmarkEnd w:id="122"/>
    </w:p>
    <w:p>
      <w:pPr>
        <w:spacing w:line="500" w:lineRule="exact"/>
        <w:ind w:firstLine="480" w:firstLineChars="200"/>
        <w:rPr>
          <w:sz w:val="24"/>
        </w:rPr>
      </w:pPr>
      <w:r>
        <w:rPr>
          <w:rFonts w:hint="eastAsia" w:hAnsi="宋体"/>
          <w:color w:val="FF0000"/>
          <w:sz w:val="24"/>
          <w:lang w:eastAsia="zh-CN"/>
        </w:rPr>
        <w:t>中国石化销售股份有限公司江西南昌红谷滩石油分公司世纪星加油站</w:t>
      </w:r>
      <w:r>
        <w:rPr>
          <w:color w:val="000000" w:themeColor="text1"/>
          <w:sz w:val="24"/>
          <w14:textFill>
            <w14:solidFill>
              <w14:schemeClr w14:val="tx1"/>
            </w14:solidFill>
          </w14:textFill>
        </w:rPr>
        <w:t>设突</w:t>
      </w:r>
      <w:r>
        <w:rPr>
          <w:color w:val="000000"/>
          <w:sz w:val="24"/>
        </w:rPr>
        <w:t>发环境事件应急指挥</w:t>
      </w:r>
      <w:r>
        <w:rPr>
          <w:rFonts w:hint="eastAsia"/>
          <w:color w:val="000000"/>
          <w:sz w:val="24"/>
        </w:rPr>
        <w:t>部</w:t>
      </w:r>
      <w:r>
        <w:rPr>
          <w:color w:val="000000"/>
          <w:sz w:val="24"/>
        </w:rPr>
        <w:t>，</w:t>
      </w:r>
      <w:r>
        <w:rPr>
          <w:rFonts w:hint="eastAsia"/>
          <w:color w:val="000000"/>
          <w:sz w:val="24"/>
        </w:rPr>
        <w:t>下</w:t>
      </w:r>
      <w:r>
        <w:rPr>
          <w:sz w:val="24"/>
        </w:rPr>
        <w:t>设机构为</w:t>
      </w:r>
      <w:r>
        <w:rPr>
          <w:rFonts w:hint="eastAsia"/>
          <w:sz w:val="24"/>
        </w:rPr>
        <w:t>指挥部办公室和应急处置小组</w:t>
      </w:r>
      <w:r>
        <w:rPr>
          <w:sz w:val="24"/>
        </w:rPr>
        <w:t>，</w:t>
      </w:r>
      <w:r>
        <w:rPr>
          <w:rFonts w:hint="eastAsia"/>
          <w:sz w:val="24"/>
        </w:rPr>
        <w:t>应急处置小组分为</w:t>
      </w:r>
      <w:r>
        <w:rPr>
          <w:sz w:val="24"/>
        </w:rPr>
        <w:t>专家组、</w:t>
      </w:r>
      <w:r>
        <w:rPr>
          <w:rFonts w:hint="eastAsia"/>
          <w:sz w:val="24"/>
        </w:rPr>
        <w:t>应急监测</w:t>
      </w:r>
      <w:r>
        <w:rPr>
          <w:sz w:val="24"/>
        </w:rPr>
        <w:t>组、</w:t>
      </w:r>
      <w:r>
        <w:rPr>
          <w:rFonts w:hint="eastAsia"/>
          <w:sz w:val="24"/>
        </w:rPr>
        <w:t>医疗救护</w:t>
      </w:r>
      <w:r>
        <w:rPr>
          <w:sz w:val="24"/>
        </w:rPr>
        <w:t>组、</w:t>
      </w:r>
      <w:r>
        <w:rPr>
          <w:rFonts w:hint="eastAsia"/>
          <w:sz w:val="24"/>
        </w:rPr>
        <w:t>污染处置</w:t>
      </w:r>
      <w:r>
        <w:rPr>
          <w:sz w:val="24"/>
        </w:rPr>
        <w:t>组、</w:t>
      </w:r>
      <w:r>
        <w:rPr>
          <w:rFonts w:hint="eastAsia"/>
          <w:sz w:val="24"/>
        </w:rPr>
        <w:t>应急保障组、新闻宣传组和社会稳定组。详见下图和下表。</w:t>
      </w:r>
    </w:p>
    <w:p>
      <w:pPr>
        <w:adjustRightInd w:val="0"/>
        <w:snapToGrid w:val="0"/>
        <w:spacing w:line="360" w:lineRule="auto"/>
        <w:rPr>
          <w:snapToGrid w:val="0"/>
          <w:spacing w:val="4"/>
          <w:kern w:val="0"/>
          <w:sz w:val="24"/>
        </w:rPr>
      </w:pPr>
      <w:r>
        <w:rPr>
          <w:spacing w:val="4"/>
          <w:kern w:val="0"/>
          <w:sz w:val="24"/>
        </w:rPr>
        <mc:AlternateContent>
          <mc:Choice Requires="wpg">
            <w:drawing>
              <wp:anchor distT="0" distB="0" distL="114300" distR="114300" simplePos="0" relativeHeight="251845632" behindDoc="0" locked="0" layoutInCell="1" allowOverlap="1">
                <wp:simplePos x="0" y="0"/>
                <wp:positionH relativeFrom="column">
                  <wp:posOffset>-104775</wp:posOffset>
                </wp:positionH>
                <wp:positionV relativeFrom="paragraph">
                  <wp:posOffset>243840</wp:posOffset>
                </wp:positionV>
                <wp:extent cx="6157595" cy="2536825"/>
                <wp:effectExtent l="8255" t="13335" r="6350" b="12065"/>
                <wp:wrapNone/>
                <wp:docPr id="63" name="Group 1173"/>
                <wp:cNvGraphicFramePr/>
                <a:graphic xmlns:a="http://schemas.openxmlformats.org/drawingml/2006/main">
                  <a:graphicData uri="http://schemas.microsoft.com/office/word/2010/wordprocessingGroup">
                    <wpg:wgp>
                      <wpg:cNvGrpSpPr/>
                      <wpg:grpSpPr>
                        <a:xfrm>
                          <a:off x="0" y="0"/>
                          <a:ext cx="6157595" cy="2536825"/>
                          <a:chOff x="1230" y="1876"/>
                          <a:chExt cx="9697" cy="3995"/>
                        </a:xfrm>
                      </wpg:grpSpPr>
                      <wps:wsp>
                        <wps:cNvPr id="64" name="Rectangle 25"/>
                        <wps:cNvSpPr>
                          <a:spLocks noChangeArrowheads="1"/>
                        </wps:cNvSpPr>
                        <wps:spPr bwMode="auto">
                          <a:xfrm>
                            <a:off x="2850" y="5403"/>
                            <a:ext cx="1485" cy="468"/>
                          </a:xfrm>
                          <a:prstGeom prst="rect">
                            <a:avLst/>
                          </a:prstGeom>
                          <a:solidFill>
                            <a:srgbClr val="FFFFFF"/>
                          </a:solidFill>
                          <a:ln w="9525">
                            <a:solidFill>
                              <a:srgbClr val="000000"/>
                            </a:solidFill>
                            <a:miter lim="800000"/>
                          </a:ln>
                        </wps:spPr>
                        <wps:txbx>
                          <w:txbxContent>
                            <w:p>
                              <w:r>
                                <w:rPr>
                                  <w:rFonts w:hint="eastAsia"/>
                                </w:rPr>
                                <w:t>应急保障组</w:t>
                              </w:r>
                            </w:p>
                          </w:txbxContent>
                        </wps:txbx>
                        <wps:bodyPr rot="0" vert="horz" wrap="square" lIns="91440" tIns="45720" rIns="91440" bIns="45720" anchor="t" anchorCtr="0" upright="1">
                          <a:noAutofit/>
                        </wps:bodyPr>
                      </wps:wsp>
                      <wps:wsp>
                        <wps:cNvPr id="65" name="Line 26"/>
                        <wps:cNvCnPr>
                          <a:cxnSpLocks noChangeShapeType="1"/>
                        </wps:cNvCnPr>
                        <wps:spPr bwMode="auto">
                          <a:xfrm>
                            <a:off x="3586" y="4623"/>
                            <a:ext cx="0" cy="769"/>
                          </a:xfrm>
                          <a:prstGeom prst="line">
                            <a:avLst/>
                          </a:prstGeom>
                          <a:noFill/>
                          <a:ln w="9525">
                            <a:solidFill>
                              <a:srgbClr val="000000"/>
                            </a:solidFill>
                            <a:round/>
                            <a:tailEnd type="triangle" w="med" len="med"/>
                          </a:ln>
                        </wps:spPr>
                        <wps:bodyPr/>
                      </wps:wsp>
                      <wps:wsp>
                        <wps:cNvPr id="66" name="Rectangle 27"/>
                        <wps:cNvSpPr>
                          <a:spLocks noChangeArrowheads="1"/>
                        </wps:cNvSpPr>
                        <wps:spPr bwMode="auto">
                          <a:xfrm>
                            <a:off x="4449" y="5403"/>
                            <a:ext cx="1516" cy="468"/>
                          </a:xfrm>
                          <a:prstGeom prst="rect">
                            <a:avLst/>
                          </a:prstGeom>
                          <a:solidFill>
                            <a:srgbClr val="FFFFFF"/>
                          </a:solidFill>
                          <a:ln w="9525">
                            <a:solidFill>
                              <a:srgbClr val="000000"/>
                            </a:solidFill>
                            <a:miter lim="800000"/>
                          </a:ln>
                        </wps:spPr>
                        <wps:txbx>
                          <w:txbxContent>
                            <w:p>
                              <w:pPr>
                                <w:rPr>
                                  <w:rFonts w:hAnsi="宋体"/>
                                </w:rPr>
                              </w:pPr>
                              <w:r>
                                <w:rPr>
                                  <w:rFonts w:hint="eastAsia"/>
                                </w:rPr>
                                <w:t>应急监测组</w:t>
                              </w:r>
                              <w:r>
                                <w:rPr>
                                  <w:rFonts w:hint="eastAsia" w:hAnsi="宋体"/>
                                </w:rPr>
                                <w:tab/>
                              </w:r>
                            </w:p>
                          </w:txbxContent>
                        </wps:txbx>
                        <wps:bodyPr rot="0" vert="horz" wrap="square" lIns="91440" tIns="45720" rIns="91440" bIns="45720" anchor="t" anchorCtr="0" upright="1">
                          <a:noAutofit/>
                        </wps:bodyPr>
                      </wps:wsp>
                      <wps:wsp>
                        <wps:cNvPr id="67" name="Line 28"/>
                        <wps:cNvCnPr>
                          <a:cxnSpLocks noChangeShapeType="1"/>
                        </wps:cNvCnPr>
                        <wps:spPr bwMode="auto">
                          <a:xfrm>
                            <a:off x="5145" y="4638"/>
                            <a:ext cx="0" cy="739"/>
                          </a:xfrm>
                          <a:prstGeom prst="line">
                            <a:avLst/>
                          </a:prstGeom>
                          <a:noFill/>
                          <a:ln w="9525">
                            <a:solidFill>
                              <a:srgbClr val="000000"/>
                            </a:solidFill>
                            <a:round/>
                            <a:tailEnd type="triangle" w="med" len="med"/>
                          </a:ln>
                        </wps:spPr>
                        <wps:bodyPr/>
                      </wps:wsp>
                      <wps:wsp>
                        <wps:cNvPr id="68" name="Rectangle 29"/>
                        <wps:cNvSpPr>
                          <a:spLocks noChangeArrowheads="1"/>
                        </wps:cNvSpPr>
                        <wps:spPr bwMode="auto">
                          <a:xfrm>
                            <a:off x="7809" y="5362"/>
                            <a:ext cx="1479" cy="468"/>
                          </a:xfrm>
                          <a:prstGeom prst="rect">
                            <a:avLst/>
                          </a:prstGeom>
                          <a:solidFill>
                            <a:srgbClr val="FFFFFF"/>
                          </a:solidFill>
                          <a:ln w="9525">
                            <a:solidFill>
                              <a:srgbClr val="000000"/>
                            </a:solidFill>
                            <a:miter lim="800000"/>
                          </a:ln>
                        </wps:spPr>
                        <wps:txbx>
                          <w:txbxContent>
                            <w:p>
                              <w:pPr>
                                <w:jc w:val="center"/>
                              </w:pPr>
                              <w:r>
                                <w:rPr>
                                  <w:rFonts w:hint="eastAsia"/>
                                </w:rPr>
                                <w:t>新闻宣传组</w:t>
                              </w:r>
                            </w:p>
                          </w:txbxContent>
                        </wps:txbx>
                        <wps:bodyPr rot="0" vert="horz" wrap="square" lIns="91440" tIns="45720" rIns="91440" bIns="45720" anchor="t" anchorCtr="0" upright="1">
                          <a:noAutofit/>
                        </wps:bodyPr>
                      </wps:wsp>
                      <wps:wsp>
                        <wps:cNvPr id="69" name="Line 30"/>
                        <wps:cNvCnPr>
                          <a:cxnSpLocks noChangeShapeType="1"/>
                        </wps:cNvCnPr>
                        <wps:spPr bwMode="auto">
                          <a:xfrm flipH="1">
                            <a:off x="6824" y="4645"/>
                            <a:ext cx="0" cy="717"/>
                          </a:xfrm>
                          <a:prstGeom prst="line">
                            <a:avLst/>
                          </a:prstGeom>
                          <a:noFill/>
                          <a:ln w="9525">
                            <a:solidFill>
                              <a:srgbClr val="000000"/>
                            </a:solidFill>
                            <a:round/>
                            <a:tailEnd type="triangle" w="med" len="med"/>
                          </a:ln>
                        </wps:spPr>
                        <wps:bodyPr/>
                      </wps:wsp>
                      <wps:wsp>
                        <wps:cNvPr id="70" name="Rectangle 31"/>
                        <wps:cNvSpPr>
                          <a:spLocks noChangeArrowheads="1"/>
                        </wps:cNvSpPr>
                        <wps:spPr bwMode="auto">
                          <a:xfrm>
                            <a:off x="1230" y="5403"/>
                            <a:ext cx="1545" cy="468"/>
                          </a:xfrm>
                          <a:prstGeom prst="rect">
                            <a:avLst/>
                          </a:prstGeom>
                          <a:solidFill>
                            <a:srgbClr val="FFFFFF"/>
                          </a:solidFill>
                          <a:ln w="9525">
                            <a:solidFill>
                              <a:srgbClr val="000000"/>
                            </a:solidFill>
                            <a:miter lim="800000"/>
                          </a:ln>
                        </wps:spPr>
                        <wps:txbx>
                          <w:txbxContent>
                            <w:p>
                              <w:r>
                                <w:rPr>
                                  <w:rFonts w:hint="eastAsia"/>
                                </w:rPr>
                                <w:t>污染处置组</w:t>
                              </w:r>
                            </w:p>
                          </w:txbxContent>
                        </wps:txbx>
                        <wps:bodyPr rot="0" vert="horz" wrap="square" lIns="91440" tIns="45720" rIns="91440" bIns="45720" anchor="t" anchorCtr="0" upright="1">
                          <a:noAutofit/>
                        </wps:bodyPr>
                      </wps:wsp>
                      <wps:wsp>
                        <wps:cNvPr id="71" name="Line 32"/>
                        <wps:cNvCnPr>
                          <a:cxnSpLocks noChangeShapeType="1"/>
                        </wps:cNvCnPr>
                        <wps:spPr bwMode="auto">
                          <a:xfrm>
                            <a:off x="2048" y="4623"/>
                            <a:ext cx="0" cy="780"/>
                          </a:xfrm>
                          <a:prstGeom prst="line">
                            <a:avLst/>
                          </a:prstGeom>
                          <a:noFill/>
                          <a:ln w="9525">
                            <a:solidFill>
                              <a:srgbClr val="000000"/>
                            </a:solidFill>
                            <a:round/>
                            <a:tailEnd type="triangle" w="med" len="med"/>
                          </a:ln>
                        </wps:spPr>
                        <wps:bodyPr/>
                      </wps:wsp>
                      <wps:wsp>
                        <wps:cNvPr id="72" name="Line 33"/>
                        <wps:cNvCnPr>
                          <a:cxnSpLocks noChangeShapeType="1"/>
                        </wps:cNvCnPr>
                        <wps:spPr bwMode="auto">
                          <a:xfrm>
                            <a:off x="2048" y="4623"/>
                            <a:ext cx="7946" cy="0"/>
                          </a:xfrm>
                          <a:prstGeom prst="line">
                            <a:avLst/>
                          </a:prstGeom>
                          <a:noFill/>
                          <a:ln w="9525">
                            <a:solidFill>
                              <a:srgbClr val="000000"/>
                            </a:solidFill>
                            <a:round/>
                          </a:ln>
                        </wps:spPr>
                        <wps:bodyPr/>
                      </wps:wsp>
                      <wpg:grpSp>
                        <wpg:cNvPr id="73" name="Group 42"/>
                        <wpg:cNvGrpSpPr/>
                        <wpg:grpSpPr>
                          <a:xfrm>
                            <a:off x="6455" y="2057"/>
                            <a:ext cx="2021" cy="1759"/>
                            <a:chOff x="0" y="0"/>
                            <a:chExt cx="2160" cy="2029"/>
                          </a:xfrm>
                        </wpg:grpSpPr>
                        <wps:wsp>
                          <wps:cNvPr id="74" name="Rectangle 43"/>
                          <wps:cNvSpPr>
                            <a:spLocks noChangeArrowheads="1"/>
                          </wps:cNvSpPr>
                          <wps:spPr bwMode="auto">
                            <a:xfrm>
                              <a:off x="900" y="624"/>
                              <a:ext cx="1260" cy="468"/>
                            </a:xfrm>
                            <a:prstGeom prst="rect">
                              <a:avLst/>
                            </a:prstGeom>
                            <a:solidFill>
                              <a:srgbClr val="FFFFFF"/>
                            </a:solidFill>
                            <a:ln w="9525">
                              <a:solidFill>
                                <a:srgbClr val="000000"/>
                              </a:solidFill>
                              <a:miter lim="800000"/>
                            </a:ln>
                          </wps:spPr>
                          <wps:txbx>
                            <w:txbxContent>
                              <w:p>
                                <w:pPr>
                                  <w:adjustRightInd w:val="0"/>
                                  <w:snapToGrid w:val="0"/>
                                  <w:jc w:val="center"/>
                                </w:pPr>
                                <w:r>
                                  <w:rPr>
                                    <w:rFonts w:hint="eastAsia"/>
                                  </w:rPr>
                                  <w:t>专家组</w:t>
                                </w:r>
                              </w:p>
                            </w:txbxContent>
                          </wps:txbx>
                          <wps:bodyPr rot="0" vert="horz" wrap="square" lIns="91440" tIns="45720" rIns="91440" bIns="45720" anchor="t" anchorCtr="0" upright="1">
                            <a:noAutofit/>
                          </wps:bodyPr>
                        </wps:wsp>
                        <wps:wsp>
                          <wps:cNvPr id="75" name="Line 44"/>
                          <wps:cNvCnPr>
                            <a:cxnSpLocks noChangeShapeType="1"/>
                          </wps:cNvCnPr>
                          <wps:spPr bwMode="auto">
                            <a:xfrm>
                              <a:off x="0" y="0"/>
                              <a:ext cx="1440" cy="1"/>
                            </a:xfrm>
                            <a:prstGeom prst="line">
                              <a:avLst/>
                            </a:prstGeom>
                            <a:noFill/>
                            <a:ln w="9525">
                              <a:solidFill>
                                <a:srgbClr val="000000"/>
                              </a:solidFill>
                              <a:round/>
                            </a:ln>
                          </wps:spPr>
                          <wps:bodyPr/>
                        </wps:wsp>
                        <wps:wsp>
                          <wps:cNvPr id="76" name="Line 45"/>
                          <wps:cNvCnPr>
                            <a:cxnSpLocks noChangeShapeType="1"/>
                          </wps:cNvCnPr>
                          <wps:spPr bwMode="auto">
                            <a:xfrm>
                              <a:off x="1440" y="0"/>
                              <a:ext cx="1" cy="624"/>
                            </a:xfrm>
                            <a:prstGeom prst="line">
                              <a:avLst/>
                            </a:prstGeom>
                            <a:noFill/>
                            <a:ln w="9525">
                              <a:solidFill>
                                <a:srgbClr val="000000"/>
                              </a:solidFill>
                              <a:round/>
                              <a:tailEnd type="triangle" w="med" len="med"/>
                            </a:ln>
                          </wps:spPr>
                          <wps:bodyPr/>
                        </wps:wsp>
                        <wps:wsp>
                          <wps:cNvPr id="77" name="Line 46"/>
                          <wps:cNvCnPr>
                            <a:cxnSpLocks noChangeShapeType="1"/>
                          </wps:cNvCnPr>
                          <wps:spPr bwMode="auto">
                            <a:xfrm>
                              <a:off x="1440" y="1092"/>
                              <a:ext cx="1" cy="936"/>
                            </a:xfrm>
                            <a:prstGeom prst="line">
                              <a:avLst/>
                            </a:prstGeom>
                            <a:noFill/>
                            <a:ln w="9525">
                              <a:solidFill>
                                <a:srgbClr val="000000"/>
                              </a:solidFill>
                              <a:round/>
                            </a:ln>
                          </wps:spPr>
                          <wps:bodyPr/>
                        </wps:wsp>
                        <wps:wsp>
                          <wps:cNvPr id="78" name="Line 47"/>
                          <wps:cNvCnPr>
                            <a:cxnSpLocks noChangeShapeType="1"/>
                          </wps:cNvCnPr>
                          <wps:spPr bwMode="auto">
                            <a:xfrm flipH="1">
                              <a:off x="539" y="2029"/>
                              <a:ext cx="901" cy="1"/>
                            </a:xfrm>
                            <a:prstGeom prst="line">
                              <a:avLst/>
                            </a:prstGeom>
                            <a:noFill/>
                            <a:ln w="9525">
                              <a:solidFill>
                                <a:srgbClr val="000000"/>
                              </a:solidFill>
                              <a:round/>
                              <a:tailEnd type="triangle" w="med" len="med"/>
                            </a:ln>
                          </wps:spPr>
                          <wps:bodyPr/>
                        </wps:wsp>
                      </wpg:grpSp>
                      <wps:wsp>
                        <wps:cNvPr id="79" name="Rectangle 36"/>
                        <wps:cNvSpPr>
                          <a:spLocks noChangeArrowheads="1"/>
                        </wps:cNvSpPr>
                        <wps:spPr bwMode="auto">
                          <a:xfrm>
                            <a:off x="4335" y="1876"/>
                            <a:ext cx="2120" cy="468"/>
                          </a:xfrm>
                          <a:prstGeom prst="rect">
                            <a:avLst/>
                          </a:prstGeom>
                          <a:solidFill>
                            <a:srgbClr val="FFFFFF"/>
                          </a:solidFill>
                          <a:ln w="9525">
                            <a:solidFill>
                              <a:srgbClr val="000000"/>
                            </a:solidFill>
                            <a:miter lim="800000"/>
                          </a:ln>
                        </wps:spPr>
                        <wps:txbx>
                          <w:txbxContent>
                            <w:p>
                              <w:pPr>
                                <w:adjustRightInd w:val="0"/>
                                <w:snapToGrid w:val="0"/>
                              </w:pPr>
                              <w:r>
                                <w:rPr>
                                  <w:rFonts w:hint="eastAsia"/>
                                </w:rPr>
                                <w:t xml:space="preserve"> 总指挥（站长）</w:t>
                              </w:r>
                            </w:p>
                          </w:txbxContent>
                        </wps:txbx>
                        <wps:bodyPr rot="0" vert="horz" wrap="square" lIns="91440" tIns="45720" rIns="91440" bIns="45720" anchor="t" anchorCtr="0" upright="1">
                          <a:noAutofit/>
                        </wps:bodyPr>
                      </wps:wsp>
                      <wps:wsp>
                        <wps:cNvPr id="80" name="Rectangle 37"/>
                        <wps:cNvSpPr>
                          <a:spLocks noChangeArrowheads="1"/>
                        </wps:cNvSpPr>
                        <wps:spPr bwMode="auto">
                          <a:xfrm>
                            <a:off x="4024" y="2733"/>
                            <a:ext cx="2802" cy="468"/>
                          </a:xfrm>
                          <a:prstGeom prst="rect">
                            <a:avLst/>
                          </a:prstGeom>
                          <a:solidFill>
                            <a:srgbClr val="FFFFFF"/>
                          </a:solidFill>
                          <a:ln w="9525">
                            <a:solidFill>
                              <a:srgbClr val="000000"/>
                            </a:solidFill>
                            <a:miter lim="800000"/>
                          </a:ln>
                        </wps:spPr>
                        <wps:txbx>
                          <w:txbxContent>
                            <w:p>
                              <w:pPr>
                                <w:ind w:firstLine="105" w:firstLineChars="50"/>
                                <w:jc w:val="center"/>
                                <w:rPr>
                                  <w:color w:val="000000"/>
                                </w:rPr>
                              </w:pPr>
                              <w:r>
                                <w:rPr>
                                  <w:rFonts w:hint="eastAsia"/>
                                  <w:color w:val="000000"/>
                                </w:rPr>
                                <w:t>副总指挥（综合管理员）</w:t>
                              </w:r>
                            </w:p>
                          </w:txbxContent>
                        </wps:txbx>
                        <wps:bodyPr rot="0" vert="horz" wrap="square" lIns="91440" tIns="45720" rIns="91440" bIns="45720" anchor="t" anchorCtr="0" upright="1">
                          <a:noAutofit/>
                        </wps:bodyPr>
                      </wps:wsp>
                      <wps:wsp>
                        <wps:cNvPr id="81" name="Rectangle 38"/>
                        <wps:cNvSpPr>
                          <a:spLocks noChangeArrowheads="1"/>
                        </wps:cNvSpPr>
                        <wps:spPr bwMode="auto">
                          <a:xfrm>
                            <a:off x="3796" y="3606"/>
                            <a:ext cx="3175" cy="468"/>
                          </a:xfrm>
                          <a:prstGeom prst="rect">
                            <a:avLst/>
                          </a:prstGeom>
                          <a:solidFill>
                            <a:srgbClr val="FFFFFF"/>
                          </a:solidFill>
                          <a:ln w="9525">
                            <a:solidFill>
                              <a:srgbClr val="000000"/>
                            </a:solidFill>
                            <a:miter lim="800000"/>
                          </a:ln>
                        </wps:spPr>
                        <wps:txbx>
                          <w:txbxContent>
                            <w:p>
                              <w:pPr>
                                <w:rPr>
                                  <w:rFonts w:ascii="仿宋_GB2312" w:eastAsia="仿宋_GB2312"/>
                                </w:rPr>
                              </w:pPr>
                              <w:r>
                                <w:rPr>
                                  <w:rFonts w:hint="eastAsia"/>
                                </w:rPr>
                                <w:t>应急指挥部办公室（办公室）</w:t>
                              </w:r>
                            </w:p>
                          </w:txbxContent>
                        </wps:txbx>
                        <wps:bodyPr rot="0" vert="horz" wrap="square" lIns="91440" tIns="45720" rIns="91440" bIns="45720" anchor="t" anchorCtr="0" upright="1">
                          <a:noAutofit/>
                        </wps:bodyPr>
                      </wps:wsp>
                      <wps:wsp>
                        <wps:cNvPr id="82" name="Line 39"/>
                        <wps:cNvCnPr>
                          <a:cxnSpLocks noChangeShapeType="1"/>
                        </wps:cNvCnPr>
                        <wps:spPr bwMode="auto">
                          <a:xfrm>
                            <a:off x="5539" y="2344"/>
                            <a:ext cx="0" cy="383"/>
                          </a:xfrm>
                          <a:prstGeom prst="line">
                            <a:avLst/>
                          </a:prstGeom>
                          <a:noFill/>
                          <a:ln w="9525">
                            <a:solidFill>
                              <a:srgbClr val="000000"/>
                            </a:solidFill>
                            <a:round/>
                            <a:tailEnd type="triangle" w="med" len="med"/>
                          </a:ln>
                        </wps:spPr>
                        <wps:bodyPr/>
                      </wps:wsp>
                      <wps:wsp>
                        <wps:cNvPr id="83" name="Line 40"/>
                        <wps:cNvCnPr>
                          <a:cxnSpLocks noChangeShapeType="1"/>
                        </wps:cNvCnPr>
                        <wps:spPr bwMode="auto">
                          <a:xfrm flipH="1">
                            <a:off x="5539" y="4090"/>
                            <a:ext cx="0" cy="533"/>
                          </a:xfrm>
                          <a:prstGeom prst="line">
                            <a:avLst/>
                          </a:prstGeom>
                          <a:noFill/>
                          <a:ln w="9525">
                            <a:solidFill>
                              <a:srgbClr val="000000"/>
                            </a:solidFill>
                            <a:round/>
                            <a:tailEnd type="triangle" w="med" len="med"/>
                          </a:ln>
                        </wps:spPr>
                        <wps:bodyPr/>
                      </wps:wsp>
                      <wps:wsp>
                        <wps:cNvPr id="84" name="Line 41"/>
                        <wps:cNvCnPr>
                          <a:cxnSpLocks noChangeShapeType="1"/>
                        </wps:cNvCnPr>
                        <wps:spPr bwMode="auto">
                          <a:xfrm flipH="1">
                            <a:off x="5537" y="3201"/>
                            <a:ext cx="0" cy="405"/>
                          </a:xfrm>
                          <a:prstGeom prst="line">
                            <a:avLst/>
                          </a:prstGeom>
                          <a:noFill/>
                          <a:ln w="9525">
                            <a:solidFill>
                              <a:srgbClr val="000000"/>
                            </a:solidFill>
                            <a:round/>
                            <a:tailEnd type="triangle" w="med" len="med"/>
                          </a:ln>
                        </wps:spPr>
                        <wps:bodyPr/>
                      </wps:wsp>
                      <wps:wsp>
                        <wps:cNvPr id="85" name="Rectangle 1195"/>
                        <wps:cNvSpPr>
                          <a:spLocks noChangeArrowheads="1"/>
                        </wps:cNvSpPr>
                        <wps:spPr bwMode="auto">
                          <a:xfrm>
                            <a:off x="6109" y="5403"/>
                            <a:ext cx="1479" cy="468"/>
                          </a:xfrm>
                          <a:prstGeom prst="rect">
                            <a:avLst/>
                          </a:prstGeom>
                          <a:solidFill>
                            <a:srgbClr val="FFFFFF"/>
                          </a:solidFill>
                          <a:ln w="9525">
                            <a:solidFill>
                              <a:srgbClr val="000000"/>
                            </a:solidFill>
                            <a:miter lim="800000"/>
                          </a:ln>
                        </wps:spPr>
                        <wps:txbx>
                          <w:txbxContent>
                            <w:p>
                              <w:pPr>
                                <w:jc w:val="center"/>
                              </w:pPr>
                              <w:r>
                                <w:rPr>
                                  <w:rFonts w:hint="eastAsia"/>
                                </w:rPr>
                                <w:t>医疗救护组</w:t>
                              </w:r>
                            </w:p>
                          </w:txbxContent>
                        </wps:txbx>
                        <wps:bodyPr rot="0" vert="horz" wrap="square" lIns="91440" tIns="45720" rIns="91440" bIns="45720" anchor="t" anchorCtr="0" upright="1">
                          <a:noAutofit/>
                        </wps:bodyPr>
                      </wps:wsp>
                      <wps:wsp>
                        <wps:cNvPr id="86" name="Rectangle 1196"/>
                        <wps:cNvSpPr>
                          <a:spLocks noChangeArrowheads="1"/>
                        </wps:cNvSpPr>
                        <wps:spPr bwMode="auto">
                          <a:xfrm>
                            <a:off x="9448" y="5347"/>
                            <a:ext cx="1479" cy="468"/>
                          </a:xfrm>
                          <a:prstGeom prst="rect">
                            <a:avLst/>
                          </a:prstGeom>
                          <a:solidFill>
                            <a:srgbClr val="FFFFFF"/>
                          </a:solidFill>
                          <a:ln w="9525">
                            <a:solidFill>
                              <a:srgbClr val="000000"/>
                            </a:solidFill>
                            <a:miter lim="800000"/>
                          </a:ln>
                        </wps:spPr>
                        <wps:txbx>
                          <w:txbxContent>
                            <w:p>
                              <w:pPr>
                                <w:jc w:val="center"/>
                              </w:pPr>
                              <w:r>
                                <w:rPr>
                                  <w:rFonts w:hint="eastAsia"/>
                                </w:rPr>
                                <w:t>社会稳定组</w:t>
                              </w:r>
                            </w:p>
                          </w:txbxContent>
                        </wps:txbx>
                        <wps:bodyPr rot="0" vert="horz" wrap="square" lIns="91440" tIns="45720" rIns="91440" bIns="45720" anchor="t" anchorCtr="0" upright="1">
                          <a:noAutofit/>
                        </wps:bodyPr>
                      </wps:wsp>
                      <wps:wsp>
                        <wps:cNvPr id="87" name="Line 1197"/>
                        <wps:cNvCnPr>
                          <a:cxnSpLocks noChangeShapeType="1"/>
                        </wps:cNvCnPr>
                        <wps:spPr bwMode="auto">
                          <a:xfrm>
                            <a:off x="8476" y="4645"/>
                            <a:ext cx="0" cy="717"/>
                          </a:xfrm>
                          <a:prstGeom prst="line">
                            <a:avLst/>
                          </a:prstGeom>
                          <a:noFill/>
                          <a:ln w="9525">
                            <a:solidFill>
                              <a:srgbClr val="000000"/>
                            </a:solidFill>
                            <a:round/>
                            <a:tailEnd type="triangle" w="med" len="med"/>
                          </a:ln>
                        </wps:spPr>
                        <wps:bodyPr/>
                      </wps:wsp>
                      <wps:wsp>
                        <wps:cNvPr id="88" name="Line 1198"/>
                        <wps:cNvCnPr>
                          <a:cxnSpLocks noChangeShapeType="1"/>
                        </wps:cNvCnPr>
                        <wps:spPr bwMode="auto">
                          <a:xfrm>
                            <a:off x="9994" y="4623"/>
                            <a:ext cx="0" cy="724"/>
                          </a:xfrm>
                          <a:prstGeom prst="line">
                            <a:avLst/>
                          </a:prstGeom>
                          <a:noFill/>
                          <a:ln w="9525">
                            <a:solidFill>
                              <a:srgbClr val="000000"/>
                            </a:solidFill>
                            <a:round/>
                            <a:tailEnd type="triangle" w="med" len="med"/>
                          </a:ln>
                        </wps:spPr>
                        <wps:bodyPr/>
                      </wps:wsp>
                    </wpg:wgp>
                  </a:graphicData>
                </a:graphic>
              </wp:anchor>
            </w:drawing>
          </mc:Choice>
          <mc:Fallback>
            <w:pict>
              <v:group id="Group 1173" o:spid="_x0000_s1026" o:spt="203" style="position:absolute;left:0pt;margin-left:-8.25pt;margin-top:19.2pt;height:199.75pt;width:484.85pt;z-index:251845632;mso-width-relative:page;mso-height-relative:page;" coordorigin="1230,1876" coordsize="9697,3995" o:gfxdata="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">
                <o:lock v:ext="edit" aspectratio="f"/>
                <v:rect id="Rectangle 25" o:spid="_x0000_s1026" o:spt="1" style="position:absolute;left:2850;top:5403;height:468;width:1485;" fillcolor="#FFFFFF" filled="t" stroked="t" coordsize="21600,21600" o:gfxdata="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Kha++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r>
                          <w:rPr>
                            <w:rFonts w:hint="eastAsia"/>
                          </w:rPr>
                          <w:t>应急保障组</w:t>
                        </w:r>
                      </w:p>
                    </w:txbxContent>
                  </v:textbox>
                </v:rect>
                <v:line id="Line 26" o:spid="_x0000_s1026" o:spt="20" style="position:absolute;left:3586;top:4623;height:769;width:0;" filled="f" stroked="t" coordsize="21600,21600" o:gfxdata="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HYLE6/&#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rect id="Rectangle 27" o:spid="_x0000_s1026" o:spt="1" style="position:absolute;left:4449;top:5403;height:468;width:1516;" fillcolor="#FFFFFF" filled="t" stroked="t" coordsize="21600,21600" o:gfxdata="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0/UAO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pPr>
                          <w:rPr>
                            <w:rFonts w:hAnsi="宋体"/>
                          </w:rPr>
                        </w:pPr>
                        <w:r>
                          <w:rPr>
                            <w:rFonts w:hint="eastAsia"/>
                          </w:rPr>
                          <w:t>应急监测组</w:t>
                        </w:r>
                        <w:r>
                          <w:rPr>
                            <w:rFonts w:hint="eastAsia" w:hAnsi="宋体"/>
                          </w:rPr>
                          <w:tab/>
                        </w:r>
                      </w:p>
                    </w:txbxContent>
                  </v:textbox>
                </v:rect>
                <v:line id="Line 28" o:spid="_x0000_s1026" o:spt="20" style="position:absolute;left:5145;top:4638;height:739;width:0;" filled="f" stroked="t" coordsize="21600,21600" o:gfxdata="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kYXor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Rectangle 29" o:spid="_x0000_s1026" o:spt="1" style="position:absolute;left:7809;top:5362;height:468;width:1479;" fillcolor="#FFFFFF" filled="t" stroked="t" coordsize="21600,21600" o:gfxdata="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I+xh6rgAAADbAAAA&#10;DwAAAAAAAAABACAAAAAiAAAAZHJzL2Rvd25yZXYueG1sUEsBAhQAFAAAAAgAh07iQDMvBZ47AAAA&#10;OQAAABAAAAAAAAAAAQAgAAAABwEAAGRycy9zaGFwZXhtbC54bWxQSwUGAAAAAAYABgBbAQAAsQMA&#10;AAAA&#10;">
                  <v:fill on="t" focussize="0,0"/>
                  <v:stroke color="#000000" miterlimit="8" joinstyle="miter"/>
                  <v:imagedata o:title=""/>
                  <o:lock v:ext="edit" aspectratio="f"/>
                  <v:textbox>
                    <w:txbxContent>
                      <w:p>
                        <w:pPr>
                          <w:jc w:val="center"/>
                        </w:pPr>
                        <w:r>
                          <w:rPr>
                            <w:rFonts w:hint="eastAsia"/>
                          </w:rPr>
                          <w:t>新闻宣传组</w:t>
                        </w:r>
                      </w:p>
                    </w:txbxContent>
                  </v:textbox>
                </v:rect>
                <v:line id="Line 30" o:spid="_x0000_s1026" o:spt="20" style="position:absolute;left:6824;top:4645;flip:x;height:717;width:0;" filled="f" stroked="t" coordsize="21600,21600" o:gfxdata="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k4Al7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Rectangle 31" o:spid="_x0000_s1026" o:spt="1" style="position:absolute;left:1230;top:5403;height:468;width:1545;" fillcolor="#FFFFFF" filled="t" stroked="t" coordsize="21600,21600" o:gfxdata="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YQ/sxugAAANs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textbox>
                    <w:txbxContent>
                      <w:p>
                        <w:r>
                          <w:rPr>
                            <w:rFonts w:hint="eastAsia"/>
                          </w:rPr>
                          <w:t>污染处置组</w:t>
                        </w:r>
                      </w:p>
                    </w:txbxContent>
                  </v:textbox>
                </v:rect>
                <v:line id="Line 32" o:spid="_x0000_s1026" o:spt="20" style="position:absolute;left:2048;top:4623;height:780;width:0;" filled="f" stroked="t" coordsize="21600,21600" o:gfxdata="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zq8k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Line 33" o:spid="_x0000_s1026" o:spt="20" style="position:absolute;left:2048;top:4623;height:0;width:7946;" filled="f" stroked="t" coordsize="21600,21600" o:gfxdata="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fQ7k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id="Group 42" o:spid="_x0000_s1026" o:spt="203" style="position:absolute;left:6455;top:2057;height:1759;width:2021;" coordsize="2160,2029" o:gfxdata="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3wPqwr0AAADbAAAADwAAAAAAAAABACAAAAAiAAAAZHJzL2Rvd25yZXYueG1s&#10;UEsBAhQAFAAAAAgAh07iQDMvBZ47AAAAOQAAABUAAAAAAAAAAQAgAAAADAEAAGRycy9ncm91cHNo&#10;YXBleG1sLnhtbFBLBQYAAAAABgAGAGABAADJAwAAAAA=&#10;">
                  <o:lock v:ext="edit" aspectratio="f"/>
                  <v:rect id="Rectangle 43" o:spid="_x0000_s1026" o:spt="1" style="position:absolute;left:900;top:624;height:468;width:1260;" fillcolor="#FFFFFF" filled="t" stroked="t" coordsize="21600,21600" o:gfxdata="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neP0y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w:txbxContent>
                        <w:p>
                          <w:pPr>
                            <w:adjustRightInd w:val="0"/>
                            <w:snapToGrid w:val="0"/>
                            <w:jc w:val="center"/>
                          </w:pPr>
                          <w:r>
                            <w:rPr>
                              <w:rFonts w:hint="eastAsia"/>
                            </w:rPr>
                            <w:t>专家组</w:t>
                          </w:r>
                        </w:p>
                      </w:txbxContent>
                    </v:textbox>
                  </v:rect>
                  <v:line id="Line 44" o:spid="_x0000_s1026" o:spt="20" style="position:absolute;left:0;top:0;height:1;width:1440;" filled="f" stroked="t" coordsize="21600,21600" o:gfxdata="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qUlpC/&#10;AAAA2w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Line 45" o:spid="_x0000_s1026" o:spt="20" style="position:absolute;left:1440;top:0;height:624;width:1;" filled="f" stroked="t" coordsize="21600,21600" o:gfxdata="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NMk5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Line 46" o:spid="_x0000_s1026" o:spt="20" style="position:absolute;left:1440;top:1092;height:936;width:1;" filled="f" stroked="t" coordsize="21600,21600" o:gfxdata="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UKrXy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Line 47" o:spid="_x0000_s1026" o:spt="20" style="position:absolute;left:539;top:2029;flip:x;height:1;width:901;" filled="f" stroked="t" coordsize="21600,21600" o:gfxdata="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DbM9G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v:rect id="Rectangle 36" o:spid="_x0000_s1026" o:spt="1" style="position:absolute;left:4335;top:1876;height:468;width:2120;" fillcolor="#FFFFFF" filled="t" stroked="t" coordsize="21600,21600" o:gfxdata="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XlSrL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w:txbxContent>
                      <w:p>
                        <w:pPr>
                          <w:adjustRightInd w:val="0"/>
                          <w:snapToGrid w:val="0"/>
                        </w:pPr>
                        <w:r>
                          <w:rPr>
                            <w:rFonts w:hint="eastAsia"/>
                          </w:rPr>
                          <w:t xml:space="preserve"> 总指挥（站长）</w:t>
                        </w:r>
                      </w:p>
                    </w:txbxContent>
                  </v:textbox>
                </v:rect>
                <v:rect id="Rectangle 37" o:spid="_x0000_s1026" o:spt="1" style="position:absolute;left:4024;top:2733;height:468;width:2802;" fillcolor="#FFFFFF" filled="t" stroked="t" coordsize="21600,21600" o:gfxdata="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bZaLFrgAAADbAAAA&#10;DwAAAAAAAAABACAAAAAiAAAAZHJzL2Rvd25yZXYueG1sUEsBAhQAFAAAAAgAh07iQDMvBZ47AAAA&#10;OQAAABAAAAAAAAAAAQAgAAAABwEAAGRycy9zaGFwZXhtbC54bWxQSwUGAAAAAAYABgBbAQAAsQMA&#10;AAAA&#10;">
                  <v:fill on="t" focussize="0,0"/>
                  <v:stroke color="#000000" miterlimit="8" joinstyle="miter"/>
                  <v:imagedata o:title=""/>
                  <o:lock v:ext="edit" aspectratio="f"/>
                  <v:textbox>
                    <w:txbxContent>
                      <w:p>
                        <w:pPr>
                          <w:ind w:firstLine="105" w:firstLineChars="50"/>
                          <w:jc w:val="center"/>
                          <w:rPr>
                            <w:color w:val="000000"/>
                          </w:rPr>
                        </w:pPr>
                        <w:r>
                          <w:rPr>
                            <w:rFonts w:hint="eastAsia"/>
                            <w:color w:val="000000"/>
                          </w:rPr>
                          <w:t>副总指挥（综合管理员）</w:t>
                        </w:r>
                      </w:p>
                    </w:txbxContent>
                  </v:textbox>
                </v:rect>
                <v:rect id="Rectangle 38" o:spid="_x0000_s1026" o:spt="1" style="position:absolute;left:3796;top:3606;height:468;width:3175;" fillcolor="#FFFFFF" filled="t" stroked="t" coordsize="21600,21600" o:gfxdata="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toujb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w:txbxContent>
                      <w:p>
                        <w:pPr>
                          <w:rPr>
                            <w:rFonts w:ascii="仿宋_GB2312" w:eastAsia="仿宋_GB2312"/>
                          </w:rPr>
                        </w:pPr>
                        <w:r>
                          <w:rPr>
                            <w:rFonts w:hint="eastAsia"/>
                          </w:rPr>
                          <w:t>应急指挥部办公室（办公室）</w:t>
                        </w:r>
                      </w:p>
                    </w:txbxContent>
                  </v:textbox>
                </v:rect>
                <v:line id="Line 39" o:spid="_x0000_s1026" o:spt="20" style="position:absolute;left:5539;top:2344;height:383;width:0;" filled="f" stroked="t" coordsize="21600,21600" o:gfxdata="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j1Sw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Line 40" o:spid="_x0000_s1026" o:spt="20" style="position:absolute;left:5539;top:4090;flip:x;height:533;width:0;" filled="f" stroked="t" coordsize="21600,21600" o:gfxdata="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uq0Ye/&#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Line 41" o:spid="_x0000_s1026" o:spt="20" style="position:absolute;left:5537;top:3201;flip:x;height:405;width:0;" filled="f" stroked="t" coordsize="21600,21600" o:gfxdata="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ENJ87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Rectangle 1195" o:spid="_x0000_s1026" o:spt="1" style="position:absolute;left:6109;top:5403;height:468;width:1479;" fillcolor="#FFFFFF" filled="t" stroked="t" coordsize="21600,21600" o:gfxdata="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eEojr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w:txbxContent>
                      <w:p>
                        <w:pPr>
                          <w:jc w:val="center"/>
                        </w:pPr>
                        <w:r>
                          <w:rPr>
                            <w:rFonts w:hint="eastAsia"/>
                          </w:rPr>
                          <w:t>医疗救护组</w:t>
                        </w:r>
                      </w:p>
                    </w:txbxContent>
                  </v:textbox>
                </v:rect>
                <v:rect id="Rectangle 1196" o:spid="_x0000_s1026" o:spt="1" style="position:absolute;left:9448;top:5347;height:468;width:1479;" fillcolor="#FFFFFF" filled="t" stroked="t" coordsize="21600,21600" o:gfxdata="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NM7b5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w:txbxContent>
                      <w:p>
                        <w:pPr>
                          <w:jc w:val="center"/>
                        </w:pPr>
                        <w:r>
                          <w:rPr>
                            <w:rFonts w:hint="eastAsia"/>
                          </w:rPr>
                          <w:t>社会稳定组</w:t>
                        </w:r>
                      </w:p>
                    </w:txbxContent>
                  </v:textbox>
                </v:rect>
                <v:line id="Line 1197" o:spid="_x0000_s1026" o:spt="20" style="position:absolute;left:8476;top:4645;height:717;width:0;" filled="f" stroked="t" coordsize="21600,21600" o:gfxdata="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5K8Vi/&#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Line 1198" o:spid="_x0000_s1026" o:spt="20" style="position:absolute;left:9994;top:4623;height:724;width:0;" filled="f" stroked="t" coordsize="21600,21600" o:gfxdata="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9VlKr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p>
    <w:p>
      <w:pPr>
        <w:adjustRightInd w:val="0"/>
        <w:snapToGrid w:val="0"/>
        <w:spacing w:line="360" w:lineRule="auto"/>
        <w:rPr>
          <w:snapToGrid w:val="0"/>
          <w:spacing w:val="4"/>
          <w:kern w:val="0"/>
          <w:sz w:val="24"/>
        </w:rPr>
      </w:pPr>
    </w:p>
    <w:p>
      <w:pPr>
        <w:adjustRightInd w:val="0"/>
        <w:snapToGrid w:val="0"/>
        <w:spacing w:line="360" w:lineRule="auto"/>
        <w:rPr>
          <w:snapToGrid w:val="0"/>
          <w:spacing w:val="4"/>
          <w:kern w:val="0"/>
          <w:sz w:val="24"/>
        </w:rPr>
      </w:pPr>
    </w:p>
    <w:p>
      <w:pPr>
        <w:adjustRightInd w:val="0"/>
        <w:snapToGrid w:val="0"/>
        <w:spacing w:line="360" w:lineRule="auto"/>
        <w:rPr>
          <w:snapToGrid w:val="0"/>
          <w:spacing w:val="4"/>
          <w:kern w:val="0"/>
          <w:sz w:val="24"/>
        </w:rPr>
      </w:pPr>
    </w:p>
    <w:p>
      <w:pPr>
        <w:adjustRightInd w:val="0"/>
        <w:snapToGrid w:val="0"/>
        <w:spacing w:line="360" w:lineRule="auto"/>
        <w:rPr>
          <w:snapToGrid w:val="0"/>
          <w:spacing w:val="4"/>
          <w:kern w:val="0"/>
          <w:sz w:val="24"/>
        </w:rPr>
      </w:pPr>
    </w:p>
    <w:p>
      <w:pPr>
        <w:adjustRightInd w:val="0"/>
        <w:snapToGrid w:val="0"/>
        <w:spacing w:line="360" w:lineRule="auto"/>
        <w:rPr>
          <w:snapToGrid w:val="0"/>
          <w:spacing w:val="4"/>
          <w:kern w:val="0"/>
          <w:sz w:val="24"/>
        </w:rPr>
      </w:pPr>
    </w:p>
    <w:p>
      <w:pPr>
        <w:adjustRightInd w:val="0"/>
        <w:snapToGrid w:val="0"/>
        <w:spacing w:line="360" w:lineRule="auto"/>
        <w:rPr>
          <w:snapToGrid w:val="0"/>
          <w:spacing w:val="4"/>
          <w:kern w:val="0"/>
          <w:sz w:val="24"/>
        </w:rPr>
      </w:pPr>
    </w:p>
    <w:p>
      <w:pPr>
        <w:adjustRightInd w:val="0"/>
        <w:snapToGrid w:val="0"/>
        <w:spacing w:line="360" w:lineRule="auto"/>
        <w:rPr>
          <w:snapToGrid w:val="0"/>
          <w:spacing w:val="4"/>
          <w:kern w:val="0"/>
          <w:sz w:val="24"/>
        </w:rPr>
      </w:pPr>
    </w:p>
    <w:p>
      <w:pPr>
        <w:adjustRightInd w:val="0"/>
        <w:snapToGrid w:val="0"/>
        <w:spacing w:line="360" w:lineRule="auto"/>
        <w:rPr>
          <w:snapToGrid w:val="0"/>
          <w:spacing w:val="4"/>
          <w:kern w:val="0"/>
          <w:sz w:val="24"/>
        </w:rPr>
      </w:pPr>
    </w:p>
    <w:p>
      <w:pPr>
        <w:adjustRightInd w:val="0"/>
        <w:snapToGrid w:val="0"/>
        <w:spacing w:line="360" w:lineRule="auto"/>
        <w:rPr>
          <w:snapToGrid w:val="0"/>
          <w:spacing w:val="4"/>
          <w:kern w:val="0"/>
          <w:sz w:val="24"/>
        </w:rPr>
      </w:pPr>
    </w:p>
    <w:p>
      <w:pPr>
        <w:adjustRightInd w:val="0"/>
        <w:snapToGrid w:val="0"/>
        <w:spacing w:line="360" w:lineRule="auto"/>
        <w:rPr>
          <w:snapToGrid w:val="0"/>
          <w:spacing w:val="4"/>
          <w:kern w:val="0"/>
          <w:sz w:val="24"/>
        </w:rPr>
      </w:pPr>
    </w:p>
    <w:p>
      <w:pPr>
        <w:jc w:val="center"/>
        <w:rPr>
          <w:b/>
          <w:color w:val="000000" w:themeColor="text1"/>
          <w:spacing w:val="5"/>
          <w:szCs w:val="21"/>
          <w14:textFill>
            <w14:solidFill>
              <w14:schemeClr w14:val="tx1"/>
            </w14:solidFill>
          </w14:textFill>
        </w:rPr>
      </w:pPr>
      <w:r>
        <w:rPr>
          <w:b/>
          <w:color w:val="000000" w:themeColor="text1"/>
          <w:spacing w:val="5"/>
          <w:szCs w:val="21"/>
          <w14:textFill>
            <w14:solidFill>
              <w14:schemeClr w14:val="tx1"/>
            </w14:solidFill>
          </w14:textFill>
        </w:rPr>
        <w:t>图</w:t>
      </w:r>
      <w:r>
        <w:rPr>
          <w:rFonts w:hint="eastAsia"/>
          <w:b/>
          <w:color w:val="000000" w:themeColor="text1"/>
          <w:spacing w:val="5"/>
          <w:szCs w:val="21"/>
          <w14:textFill>
            <w14:solidFill>
              <w14:schemeClr w14:val="tx1"/>
            </w14:solidFill>
          </w14:textFill>
        </w:rPr>
        <w:t>4</w:t>
      </w:r>
      <w:r>
        <w:rPr>
          <w:b/>
          <w:color w:val="000000" w:themeColor="text1"/>
          <w:spacing w:val="5"/>
          <w:szCs w:val="21"/>
          <w14:textFill>
            <w14:solidFill>
              <w14:schemeClr w14:val="tx1"/>
            </w14:solidFill>
          </w14:textFill>
        </w:rPr>
        <w:t>.</w:t>
      </w:r>
      <w:r>
        <w:rPr>
          <w:rFonts w:hint="eastAsia"/>
          <w:b/>
          <w:color w:val="000000" w:themeColor="text1"/>
          <w:spacing w:val="5"/>
          <w:szCs w:val="21"/>
          <w14:textFill>
            <w14:solidFill>
              <w14:schemeClr w14:val="tx1"/>
            </w14:solidFill>
          </w14:textFill>
        </w:rPr>
        <w:t>1</w:t>
      </w:r>
      <w:r>
        <w:rPr>
          <w:b/>
          <w:color w:val="000000" w:themeColor="text1"/>
          <w:spacing w:val="5"/>
          <w:szCs w:val="21"/>
          <w14:textFill>
            <w14:solidFill>
              <w14:schemeClr w14:val="tx1"/>
            </w14:solidFill>
          </w14:textFill>
        </w:rPr>
        <w:t>-1</w:t>
      </w:r>
      <w:r>
        <w:rPr>
          <w:rFonts w:hint="eastAsia"/>
          <w:b/>
          <w:color w:val="000000" w:themeColor="text1"/>
          <w:spacing w:val="5"/>
          <w:szCs w:val="21"/>
          <w14:textFill>
            <w14:solidFill>
              <w14:schemeClr w14:val="tx1"/>
            </w14:solidFill>
          </w14:textFill>
        </w:rPr>
        <w:t xml:space="preserve">  企业应急救援组织体系图</w:t>
      </w:r>
    </w:p>
    <w:p>
      <w:pPr>
        <w:spacing w:line="480" w:lineRule="exact"/>
        <w:ind w:firstLine="500" w:firstLineChars="200"/>
        <w:jc w:val="left"/>
        <w:rPr>
          <w:rFonts w:ascii="宋体"/>
          <w:spacing w:val="5"/>
          <w:sz w:val="24"/>
          <w:szCs w:val="21"/>
        </w:rPr>
      </w:pPr>
      <w:r>
        <w:rPr>
          <w:rFonts w:hint="eastAsia"/>
          <w:spacing w:val="5"/>
          <w:sz w:val="24"/>
          <w:szCs w:val="21"/>
        </w:rPr>
        <w:t>当发生的突发环境事件影响到企业外部和/或企业应对能力不足时，企业及时向</w:t>
      </w:r>
      <w:r>
        <w:rPr>
          <w:rFonts w:hint="eastAsia"/>
          <w:color w:val="000000" w:themeColor="text1"/>
          <w:spacing w:val="5"/>
          <w:sz w:val="24"/>
          <w:szCs w:val="21"/>
          <w14:textFill>
            <w14:solidFill>
              <w14:schemeClr w14:val="tx1"/>
            </w14:solidFill>
          </w14:textFill>
        </w:rPr>
        <w:t>区政府、</w:t>
      </w:r>
      <w:r>
        <w:rPr>
          <w:rFonts w:hint="eastAsia" w:hAnsi="宋体"/>
          <w:color w:val="000000" w:themeColor="text1"/>
          <w:sz w:val="24"/>
          <w14:textFill>
            <w14:solidFill>
              <w14:schemeClr w14:val="tx1"/>
            </w14:solidFill>
          </w14:textFill>
        </w:rPr>
        <w:t>区环境保护局</w:t>
      </w:r>
      <w:r>
        <w:rPr>
          <w:rFonts w:hint="eastAsia"/>
          <w:spacing w:val="5"/>
          <w:sz w:val="24"/>
          <w:szCs w:val="21"/>
        </w:rPr>
        <w:t>及外部有关单位求援。当由政府或</w:t>
      </w:r>
      <w:r>
        <w:rPr>
          <w:rFonts w:hint="eastAsia" w:hAnsi="宋体"/>
          <w:color w:val="000000" w:themeColor="text1"/>
          <w:sz w:val="24"/>
          <w14:textFill>
            <w14:solidFill>
              <w14:schemeClr w14:val="tx1"/>
            </w14:solidFill>
          </w14:textFill>
        </w:rPr>
        <w:t>环境保护局</w:t>
      </w:r>
      <w:r>
        <w:rPr>
          <w:rFonts w:hint="eastAsia"/>
          <w:color w:val="000000" w:themeColor="text1"/>
          <w:spacing w:val="5"/>
          <w:sz w:val="24"/>
          <w:szCs w:val="21"/>
          <w14:textFill>
            <w14:solidFill>
              <w14:schemeClr w14:val="tx1"/>
            </w14:solidFill>
          </w14:textFill>
        </w:rPr>
        <w:t>等</w:t>
      </w:r>
      <w:r>
        <w:rPr>
          <w:rFonts w:hint="eastAsia"/>
          <w:spacing w:val="5"/>
          <w:sz w:val="24"/>
          <w:szCs w:val="21"/>
        </w:rPr>
        <w:t>有关部门介入或主导突发环境事件应急处置时，企业内部应急组织机构成员不变，职责由负责应急处置转变为服从指挥，配合相关部门参与处置工作。</w:t>
      </w:r>
    </w:p>
    <w:p>
      <w:pPr>
        <w:spacing w:before="60" w:after="60" w:line="500" w:lineRule="exact"/>
        <w:outlineLvl w:val="1"/>
        <w:rPr>
          <w:rFonts w:eastAsia="黑体"/>
          <w:b/>
          <w:snapToGrid w:val="0"/>
          <w:spacing w:val="4"/>
          <w:kern w:val="0"/>
          <w:sz w:val="28"/>
          <w:szCs w:val="30"/>
        </w:rPr>
      </w:pPr>
      <w:bookmarkStart w:id="123" w:name="_Toc10105676"/>
      <w:bookmarkStart w:id="124" w:name="_Toc484163990"/>
      <w:r>
        <w:rPr>
          <w:rFonts w:hint="eastAsia" w:eastAsia="黑体"/>
          <w:b/>
          <w:snapToGrid w:val="0"/>
          <w:spacing w:val="4"/>
          <w:kern w:val="0"/>
          <w:sz w:val="28"/>
          <w:szCs w:val="30"/>
        </w:rPr>
        <w:t>4.2机构及职责</w:t>
      </w:r>
      <w:bookmarkEnd w:id="123"/>
      <w:bookmarkEnd w:id="124"/>
    </w:p>
    <w:p>
      <w:pPr>
        <w:jc w:val="center"/>
        <w:rPr>
          <w:rFonts w:hAnsi="宋体"/>
          <w:b/>
          <w:color w:val="000000"/>
          <w:kern w:val="0"/>
          <w:szCs w:val="21"/>
        </w:rPr>
        <w:sectPr>
          <w:headerReference r:id="rId7" w:type="default"/>
          <w:pgSz w:w="11906" w:h="16838"/>
          <w:pgMar w:top="1418" w:right="1418" w:bottom="1418" w:left="1588" w:header="851" w:footer="992" w:gutter="0"/>
          <w:cols w:space="425" w:num="1"/>
          <w:docGrid w:type="lines" w:linePitch="312" w:charSpace="0"/>
        </w:sectPr>
      </w:pPr>
    </w:p>
    <w:p>
      <w:pPr>
        <w:spacing w:line="440" w:lineRule="exact"/>
        <w:jc w:val="center"/>
        <w:rPr>
          <w:rFonts w:hint="eastAsia" w:hAnsi="宋体"/>
          <w:b/>
          <w:color w:val="000000"/>
          <w:kern w:val="0"/>
          <w:szCs w:val="21"/>
        </w:rPr>
      </w:pPr>
      <w:r>
        <w:rPr>
          <w:rFonts w:hint="eastAsia" w:hAnsi="宋体"/>
          <w:b/>
          <w:color w:val="000000"/>
          <w:kern w:val="0"/>
          <w:szCs w:val="21"/>
        </w:rPr>
        <w:t>表4.2-1  企业应急指挥系统名单一览表</w:t>
      </w:r>
    </w:p>
    <w:tbl>
      <w:tblPr>
        <w:tblStyle w:val="31"/>
        <w:tblW w:w="1410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134"/>
        <w:gridCol w:w="1559"/>
        <w:gridCol w:w="6095"/>
        <w:gridCol w:w="1844"/>
        <w:gridCol w:w="23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1101" w:type="dxa"/>
            <w:noWrap w:val="0"/>
            <w:vAlign w:val="center"/>
          </w:tcPr>
          <w:p>
            <w:pPr>
              <w:spacing w:line="320" w:lineRule="exact"/>
              <w:jc w:val="center"/>
              <w:rPr>
                <w:color w:val="000000"/>
                <w:sz w:val="21"/>
                <w:szCs w:val="21"/>
                <w:highlight w:val="none"/>
              </w:rPr>
            </w:pPr>
            <w:r>
              <w:rPr>
                <w:rFonts w:hAnsi="宋体"/>
                <w:color w:val="000000"/>
                <w:sz w:val="21"/>
                <w:szCs w:val="21"/>
                <w:highlight w:val="none"/>
              </w:rPr>
              <w:t>职位</w:t>
            </w:r>
          </w:p>
        </w:tc>
        <w:tc>
          <w:tcPr>
            <w:tcW w:w="1134" w:type="dxa"/>
            <w:noWrap w:val="0"/>
            <w:vAlign w:val="center"/>
          </w:tcPr>
          <w:p>
            <w:pPr>
              <w:spacing w:line="320" w:lineRule="exact"/>
              <w:jc w:val="center"/>
              <w:rPr>
                <w:color w:val="000000"/>
                <w:sz w:val="21"/>
                <w:szCs w:val="21"/>
                <w:highlight w:val="none"/>
              </w:rPr>
            </w:pPr>
            <w:r>
              <w:rPr>
                <w:rFonts w:hAnsi="宋体"/>
                <w:color w:val="000000"/>
                <w:sz w:val="21"/>
                <w:szCs w:val="21"/>
                <w:highlight w:val="none"/>
              </w:rPr>
              <w:t>姓名</w:t>
            </w:r>
          </w:p>
        </w:tc>
        <w:tc>
          <w:tcPr>
            <w:tcW w:w="1559" w:type="dxa"/>
            <w:noWrap w:val="0"/>
            <w:vAlign w:val="center"/>
          </w:tcPr>
          <w:p>
            <w:pPr>
              <w:spacing w:line="320" w:lineRule="exact"/>
              <w:jc w:val="center"/>
              <w:rPr>
                <w:color w:val="000000"/>
                <w:sz w:val="21"/>
                <w:szCs w:val="21"/>
                <w:highlight w:val="none"/>
              </w:rPr>
            </w:pPr>
            <w:r>
              <w:rPr>
                <w:rFonts w:hAnsi="宋体"/>
                <w:color w:val="000000"/>
                <w:sz w:val="21"/>
                <w:szCs w:val="21"/>
                <w:highlight w:val="none"/>
              </w:rPr>
              <w:t>职务</w:t>
            </w:r>
          </w:p>
        </w:tc>
        <w:tc>
          <w:tcPr>
            <w:tcW w:w="6095" w:type="dxa"/>
            <w:noWrap w:val="0"/>
            <w:vAlign w:val="center"/>
          </w:tcPr>
          <w:p>
            <w:pPr>
              <w:spacing w:line="320" w:lineRule="exact"/>
              <w:jc w:val="center"/>
              <w:rPr>
                <w:color w:val="000000"/>
                <w:sz w:val="21"/>
                <w:szCs w:val="21"/>
                <w:highlight w:val="none"/>
              </w:rPr>
            </w:pPr>
            <w:r>
              <w:rPr>
                <w:rFonts w:hAnsi="宋体"/>
                <w:color w:val="000000"/>
                <w:sz w:val="21"/>
                <w:szCs w:val="21"/>
                <w:highlight w:val="none"/>
              </w:rPr>
              <w:t>主要职责</w:t>
            </w:r>
          </w:p>
        </w:tc>
        <w:tc>
          <w:tcPr>
            <w:tcW w:w="1844" w:type="dxa"/>
            <w:noWrap w:val="0"/>
            <w:vAlign w:val="center"/>
          </w:tcPr>
          <w:p>
            <w:pPr>
              <w:spacing w:line="320" w:lineRule="exact"/>
              <w:jc w:val="center"/>
              <w:rPr>
                <w:color w:val="000000"/>
                <w:sz w:val="21"/>
                <w:szCs w:val="21"/>
                <w:highlight w:val="none"/>
              </w:rPr>
            </w:pPr>
            <w:r>
              <w:rPr>
                <w:rFonts w:hAnsi="宋体"/>
                <w:color w:val="000000"/>
                <w:sz w:val="21"/>
                <w:szCs w:val="21"/>
                <w:highlight w:val="none"/>
              </w:rPr>
              <w:t>联系方式</w:t>
            </w:r>
          </w:p>
        </w:tc>
        <w:tc>
          <w:tcPr>
            <w:tcW w:w="2373" w:type="dxa"/>
            <w:noWrap w:val="0"/>
            <w:vAlign w:val="center"/>
          </w:tcPr>
          <w:p>
            <w:pPr>
              <w:spacing w:line="320" w:lineRule="exact"/>
              <w:jc w:val="center"/>
              <w:rPr>
                <w:color w:val="000000"/>
                <w:sz w:val="21"/>
                <w:szCs w:val="21"/>
                <w:highlight w:val="none"/>
              </w:rPr>
            </w:pPr>
            <w:r>
              <w:rPr>
                <w:rFonts w:hAnsi="宋体"/>
                <w:color w:val="000000"/>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8" w:hRule="atLeast"/>
          <w:jc w:val="center"/>
        </w:trPr>
        <w:tc>
          <w:tcPr>
            <w:tcW w:w="1101" w:type="dxa"/>
            <w:noWrap w:val="0"/>
            <w:vAlign w:val="center"/>
          </w:tcPr>
          <w:p>
            <w:pPr>
              <w:spacing w:line="320" w:lineRule="exact"/>
              <w:jc w:val="center"/>
              <w:rPr>
                <w:color w:val="000000"/>
                <w:sz w:val="21"/>
                <w:szCs w:val="21"/>
                <w:highlight w:val="none"/>
              </w:rPr>
            </w:pPr>
            <w:r>
              <w:rPr>
                <w:rFonts w:hAnsi="宋体"/>
                <w:color w:val="000000"/>
                <w:sz w:val="21"/>
                <w:szCs w:val="21"/>
                <w:highlight w:val="none"/>
              </w:rPr>
              <w:t>总指挥</w:t>
            </w:r>
          </w:p>
        </w:tc>
        <w:tc>
          <w:tcPr>
            <w:tcW w:w="1134" w:type="dxa"/>
            <w:noWrap w:val="0"/>
            <w:vAlign w:val="center"/>
          </w:tcPr>
          <w:p>
            <w:pPr>
              <w:spacing w:line="320" w:lineRule="exact"/>
              <w:jc w:val="center"/>
              <w:rPr>
                <w:color w:val="FF0000"/>
                <w:sz w:val="21"/>
                <w:szCs w:val="21"/>
                <w:highlight w:val="none"/>
              </w:rPr>
            </w:pPr>
            <w:r>
              <w:rPr>
                <w:rFonts w:hint="eastAsia"/>
                <w:color w:val="FF0000"/>
                <w:sz w:val="21"/>
                <w:szCs w:val="21"/>
                <w:highlight w:val="none"/>
                <w:lang w:eastAsia="zh-CN"/>
              </w:rPr>
              <w:t>熊雄</w:t>
            </w:r>
          </w:p>
        </w:tc>
        <w:tc>
          <w:tcPr>
            <w:tcW w:w="1559" w:type="dxa"/>
            <w:noWrap w:val="0"/>
            <w:vAlign w:val="center"/>
          </w:tcPr>
          <w:p>
            <w:pPr>
              <w:spacing w:line="320" w:lineRule="exact"/>
              <w:jc w:val="center"/>
              <w:rPr>
                <w:color w:val="FF0000"/>
                <w:sz w:val="21"/>
                <w:szCs w:val="21"/>
                <w:highlight w:val="none"/>
              </w:rPr>
            </w:pPr>
            <w:r>
              <w:rPr>
                <w:rFonts w:hint="eastAsia"/>
                <w:color w:val="FF0000"/>
                <w:sz w:val="21"/>
                <w:szCs w:val="21"/>
                <w:highlight w:val="none"/>
              </w:rPr>
              <w:t>站长</w:t>
            </w:r>
          </w:p>
        </w:tc>
        <w:tc>
          <w:tcPr>
            <w:tcW w:w="6095" w:type="dxa"/>
            <w:noWrap w:val="0"/>
            <w:vAlign w:val="center"/>
          </w:tcPr>
          <w:p>
            <w:pPr>
              <w:spacing w:line="320" w:lineRule="exact"/>
              <w:jc w:val="center"/>
              <w:rPr>
                <w:color w:val="000000"/>
                <w:sz w:val="21"/>
                <w:szCs w:val="21"/>
                <w:highlight w:val="none"/>
              </w:rPr>
            </w:pPr>
            <w:r>
              <w:rPr>
                <w:rFonts w:hAnsi="宋体"/>
                <w:color w:val="000000"/>
                <w:sz w:val="21"/>
                <w:szCs w:val="21"/>
                <w:highlight w:val="none"/>
              </w:rPr>
              <w:t>指挥企业突发环境事件应急救援工作，负责与环保、消防等政府有关部门联系、沟通，宣布应急状态的启动和解除，全面指挥调动应急组织，调配应急资源，按应急程序组织实施应急抢险。</w:t>
            </w:r>
          </w:p>
        </w:tc>
        <w:tc>
          <w:tcPr>
            <w:tcW w:w="1844" w:type="dxa"/>
            <w:noWrap w:val="0"/>
            <w:vAlign w:val="center"/>
          </w:tcPr>
          <w:p>
            <w:pPr>
              <w:spacing w:line="320" w:lineRule="exact"/>
              <w:jc w:val="center"/>
              <w:rPr>
                <w:color w:val="FF0000"/>
                <w:sz w:val="21"/>
                <w:szCs w:val="21"/>
                <w:highlight w:val="none"/>
              </w:rPr>
            </w:pPr>
            <w:r>
              <w:rPr>
                <w:rFonts w:hint="eastAsia"/>
                <w:color w:val="FF0000"/>
                <w:sz w:val="21"/>
                <w:szCs w:val="21"/>
                <w:highlight w:val="none"/>
              </w:rPr>
              <w:t>18807099122</w:t>
            </w:r>
          </w:p>
        </w:tc>
        <w:tc>
          <w:tcPr>
            <w:tcW w:w="2373" w:type="dxa"/>
            <w:noWrap w:val="0"/>
            <w:vAlign w:val="center"/>
          </w:tcPr>
          <w:p>
            <w:pPr>
              <w:spacing w:line="320" w:lineRule="exact"/>
              <w:jc w:val="center"/>
              <w:rPr>
                <w:color w:val="000000"/>
                <w:sz w:val="21"/>
                <w:szCs w:val="21"/>
                <w:highlight w:val="none"/>
              </w:rPr>
            </w:pPr>
            <w:r>
              <w:rPr>
                <w:rFonts w:hAnsi="宋体"/>
                <w:color w:val="000000"/>
                <w:sz w:val="21"/>
                <w:szCs w:val="21"/>
                <w:highlight w:val="none"/>
              </w:rPr>
              <w:t>兼任新闻宣传组组长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1101" w:type="dxa"/>
            <w:noWrap w:val="0"/>
            <w:vAlign w:val="center"/>
          </w:tcPr>
          <w:p>
            <w:pPr>
              <w:spacing w:line="320" w:lineRule="exact"/>
              <w:jc w:val="center"/>
              <w:rPr>
                <w:rFonts w:hAnsi="宋体"/>
                <w:color w:val="000000"/>
                <w:sz w:val="21"/>
                <w:szCs w:val="21"/>
                <w:highlight w:val="none"/>
              </w:rPr>
            </w:pPr>
            <w:r>
              <w:rPr>
                <w:rFonts w:hAnsi="宋体"/>
                <w:color w:val="000000"/>
                <w:sz w:val="21"/>
                <w:szCs w:val="21"/>
                <w:highlight w:val="none"/>
              </w:rPr>
              <w:t>副总指挥</w:t>
            </w:r>
          </w:p>
        </w:tc>
        <w:tc>
          <w:tcPr>
            <w:tcW w:w="1134" w:type="dxa"/>
            <w:noWrap w:val="0"/>
            <w:vAlign w:val="center"/>
          </w:tcPr>
          <w:p>
            <w:pPr>
              <w:jc w:val="center"/>
              <w:rPr>
                <w:rFonts w:ascii="宋体" w:hAnsi="宋体" w:cs="宋体"/>
                <w:color w:val="FF0000"/>
                <w:sz w:val="21"/>
                <w:szCs w:val="21"/>
                <w:highlight w:val="none"/>
              </w:rPr>
            </w:pPr>
            <w:r>
              <w:rPr>
                <w:rFonts w:hint="eastAsia"/>
                <w:color w:val="FF0000"/>
                <w:sz w:val="21"/>
                <w:szCs w:val="21"/>
                <w:highlight w:val="none"/>
              </w:rPr>
              <w:t>熊海媛</w:t>
            </w:r>
          </w:p>
        </w:tc>
        <w:tc>
          <w:tcPr>
            <w:tcW w:w="1559" w:type="dxa"/>
            <w:noWrap w:val="0"/>
            <w:vAlign w:val="center"/>
          </w:tcPr>
          <w:p>
            <w:pPr>
              <w:jc w:val="center"/>
              <w:rPr>
                <w:rFonts w:ascii="宋体" w:hAnsi="宋体" w:cs="宋体"/>
                <w:color w:val="FF0000"/>
                <w:sz w:val="21"/>
                <w:szCs w:val="21"/>
                <w:highlight w:val="none"/>
              </w:rPr>
            </w:pPr>
            <w:r>
              <w:rPr>
                <w:rFonts w:hint="eastAsia"/>
                <w:color w:val="FF0000"/>
                <w:sz w:val="21"/>
                <w:szCs w:val="21"/>
                <w:highlight w:val="none"/>
              </w:rPr>
              <w:t>综合管理员</w:t>
            </w:r>
          </w:p>
        </w:tc>
        <w:tc>
          <w:tcPr>
            <w:tcW w:w="6095" w:type="dxa"/>
            <w:noWrap w:val="0"/>
            <w:vAlign w:val="center"/>
          </w:tcPr>
          <w:p>
            <w:pPr>
              <w:spacing w:line="320" w:lineRule="exact"/>
              <w:jc w:val="center"/>
              <w:rPr>
                <w:color w:val="000000"/>
                <w:sz w:val="21"/>
                <w:szCs w:val="21"/>
                <w:highlight w:val="none"/>
              </w:rPr>
            </w:pPr>
            <w:r>
              <w:rPr>
                <w:color w:val="000000"/>
                <w:sz w:val="21"/>
                <w:szCs w:val="21"/>
                <w:highlight w:val="none"/>
              </w:rPr>
              <w:t>协助总指挥作好应急救援的具体指挥工作。向总指挥提出救援过程中生产运行方面应考虑和采取的安全措施。向总指挥提出救援过程中技术方面应考虑和采取的安全措施，主要协助做好事故报警、情况通报、灭火、警戒、治安保卫、疏散、人员救护、道路管制及事故的处理工作。若总指挥不在时，由副总指挥全权负责应急救援工作。</w:t>
            </w:r>
          </w:p>
        </w:tc>
        <w:tc>
          <w:tcPr>
            <w:tcW w:w="1844" w:type="dxa"/>
            <w:noWrap w:val="0"/>
            <w:vAlign w:val="center"/>
          </w:tcPr>
          <w:p>
            <w:pPr>
              <w:spacing w:line="320" w:lineRule="exact"/>
              <w:jc w:val="center"/>
              <w:rPr>
                <w:color w:val="FF0000"/>
                <w:sz w:val="21"/>
                <w:szCs w:val="21"/>
                <w:highlight w:val="none"/>
              </w:rPr>
            </w:pPr>
            <w:r>
              <w:rPr>
                <w:rFonts w:hint="eastAsia"/>
                <w:color w:val="FF0000"/>
                <w:sz w:val="21"/>
                <w:szCs w:val="21"/>
                <w:highlight w:val="none"/>
              </w:rPr>
              <w:t>18270832518</w:t>
            </w:r>
          </w:p>
        </w:tc>
        <w:tc>
          <w:tcPr>
            <w:tcW w:w="2373" w:type="dxa"/>
            <w:noWrap w:val="0"/>
            <w:vAlign w:val="center"/>
          </w:tcPr>
          <w:p>
            <w:pPr>
              <w:spacing w:line="320" w:lineRule="exact"/>
              <w:jc w:val="center"/>
              <w:rPr>
                <w:rFonts w:hAnsi="宋体"/>
                <w:color w:val="000000"/>
                <w:sz w:val="21"/>
                <w:szCs w:val="21"/>
                <w:highlight w:val="none"/>
              </w:rPr>
            </w:pPr>
            <w:r>
              <w:rPr>
                <w:rFonts w:hAnsi="宋体"/>
                <w:color w:val="000000"/>
                <w:sz w:val="21"/>
                <w:szCs w:val="21"/>
                <w:highlight w:val="none"/>
              </w:rPr>
              <w:t>兼任社会稳定组组长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101" w:type="dxa"/>
            <w:vMerge w:val="restart"/>
            <w:noWrap w:val="0"/>
            <w:vAlign w:val="center"/>
          </w:tcPr>
          <w:p>
            <w:pPr>
              <w:spacing w:line="320" w:lineRule="exact"/>
              <w:jc w:val="center"/>
              <w:rPr>
                <w:color w:val="000000"/>
                <w:sz w:val="21"/>
                <w:szCs w:val="21"/>
                <w:highlight w:val="none"/>
              </w:rPr>
            </w:pPr>
            <w:r>
              <w:rPr>
                <w:rFonts w:hAnsi="宋体"/>
                <w:color w:val="000000"/>
                <w:sz w:val="21"/>
                <w:szCs w:val="21"/>
                <w:highlight w:val="none"/>
              </w:rPr>
              <w:t>组员</w:t>
            </w:r>
          </w:p>
        </w:tc>
        <w:tc>
          <w:tcPr>
            <w:tcW w:w="1134" w:type="dxa"/>
            <w:noWrap w:val="0"/>
            <w:vAlign w:val="center"/>
          </w:tcPr>
          <w:p>
            <w:pPr>
              <w:spacing w:line="320" w:lineRule="exact"/>
              <w:jc w:val="center"/>
              <w:rPr>
                <w:rFonts w:ascii="宋体" w:hAnsi="宋体" w:cs="宋体"/>
                <w:color w:val="FF0000"/>
                <w:sz w:val="21"/>
                <w:szCs w:val="21"/>
                <w:highlight w:val="none"/>
              </w:rPr>
            </w:pPr>
            <w:r>
              <w:rPr>
                <w:rFonts w:hint="eastAsia" w:ascii="宋体" w:hAnsi="宋体" w:cs="宋体"/>
                <w:color w:val="FF0000"/>
                <w:sz w:val="21"/>
                <w:szCs w:val="21"/>
                <w:highlight w:val="none"/>
                <w:lang w:eastAsia="zh-CN"/>
              </w:rPr>
              <w:t>李荣</w:t>
            </w:r>
          </w:p>
        </w:tc>
        <w:tc>
          <w:tcPr>
            <w:tcW w:w="1559" w:type="dxa"/>
            <w:noWrap w:val="0"/>
            <w:vAlign w:val="center"/>
          </w:tcPr>
          <w:p>
            <w:pPr>
              <w:spacing w:line="320" w:lineRule="exact"/>
              <w:jc w:val="center"/>
              <w:rPr>
                <w:rFonts w:hint="eastAsia" w:ascii="宋体" w:hAnsi="宋体" w:eastAsia="宋体" w:cs="宋体"/>
                <w:color w:val="FF0000"/>
                <w:sz w:val="21"/>
                <w:szCs w:val="21"/>
                <w:highlight w:val="none"/>
                <w:lang w:eastAsia="zh-CN"/>
              </w:rPr>
            </w:pPr>
            <w:r>
              <w:rPr>
                <w:rFonts w:hint="eastAsia" w:ascii="宋体" w:hAnsi="宋体" w:eastAsia="宋体" w:cs="宋体"/>
                <w:color w:val="FF0000"/>
                <w:sz w:val="21"/>
                <w:szCs w:val="21"/>
                <w:highlight w:val="none"/>
                <w:lang w:eastAsia="zh-CN"/>
              </w:rPr>
              <w:t>设备管理员</w:t>
            </w:r>
          </w:p>
        </w:tc>
        <w:tc>
          <w:tcPr>
            <w:tcW w:w="6095" w:type="dxa"/>
            <w:vMerge w:val="restart"/>
            <w:noWrap w:val="0"/>
            <w:vAlign w:val="center"/>
          </w:tcPr>
          <w:p>
            <w:pPr>
              <w:spacing w:line="320" w:lineRule="exact"/>
              <w:jc w:val="center"/>
              <w:rPr>
                <w:color w:val="000000"/>
                <w:sz w:val="21"/>
                <w:szCs w:val="21"/>
                <w:highlight w:val="none"/>
              </w:rPr>
            </w:pPr>
            <w:r>
              <w:rPr>
                <w:rFonts w:hAnsi="宋体"/>
                <w:color w:val="000000"/>
                <w:sz w:val="21"/>
                <w:szCs w:val="21"/>
                <w:highlight w:val="none"/>
              </w:rPr>
              <w:t>负责突发环境事件应急物资保障、污染现场处置、现场监测、受伤人员的紧急救治及送医、对外联络、与政府部门配合等</w:t>
            </w:r>
          </w:p>
        </w:tc>
        <w:tc>
          <w:tcPr>
            <w:tcW w:w="1844" w:type="dxa"/>
            <w:noWrap w:val="0"/>
            <w:vAlign w:val="center"/>
          </w:tcPr>
          <w:p>
            <w:pPr>
              <w:spacing w:line="320" w:lineRule="exact"/>
              <w:jc w:val="center"/>
              <w:rPr>
                <w:color w:val="FF0000"/>
                <w:sz w:val="21"/>
                <w:szCs w:val="21"/>
                <w:highlight w:val="none"/>
              </w:rPr>
            </w:pPr>
            <w:r>
              <w:rPr>
                <w:rFonts w:hint="eastAsia"/>
                <w:color w:val="FF0000"/>
                <w:sz w:val="21"/>
                <w:szCs w:val="21"/>
                <w:highlight w:val="none"/>
                <w:lang w:val="en-US" w:eastAsia="zh-CN"/>
              </w:rPr>
              <w:t>13979192613</w:t>
            </w:r>
          </w:p>
        </w:tc>
        <w:tc>
          <w:tcPr>
            <w:tcW w:w="2373" w:type="dxa"/>
            <w:noWrap w:val="0"/>
            <w:vAlign w:val="center"/>
          </w:tcPr>
          <w:p>
            <w:pPr>
              <w:spacing w:line="320" w:lineRule="exact"/>
              <w:jc w:val="center"/>
              <w:rPr>
                <w:color w:val="000000"/>
                <w:sz w:val="21"/>
                <w:szCs w:val="21"/>
                <w:highlight w:val="none"/>
              </w:rPr>
            </w:pPr>
            <w:r>
              <w:rPr>
                <w:rFonts w:hAnsi="宋体"/>
                <w:color w:val="000000"/>
                <w:sz w:val="21"/>
                <w:szCs w:val="21"/>
                <w:highlight w:val="none"/>
              </w:rPr>
              <w:t>应急监测组组长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101" w:type="dxa"/>
            <w:vMerge w:val="continue"/>
            <w:noWrap w:val="0"/>
            <w:vAlign w:val="center"/>
          </w:tcPr>
          <w:p>
            <w:pPr>
              <w:spacing w:line="320" w:lineRule="exact"/>
              <w:jc w:val="center"/>
              <w:rPr>
                <w:color w:val="000000"/>
                <w:sz w:val="21"/>
                <w:szCs w:val="21"/>
                <w:highlight w:val="none"/>
              </w:rPr>
            </w:pPr>
          </w:p>
        </w:tc>
        <w:tc>
          <w:tcPr>
            <w:tcW w:w="1134" w:type="dxa"/>
            <w:noWrap w:val="0"/>
            <w:vAlign w:val="center"/>
          </w:tcPr>
          <w:p>
            <w:pPr>
              <w:spacing w:line="320" w:lineRule="exact"/>
              <w:jc w:val="center"/>
              <w:rPr>
                <w:rFonts w:ascii="宋体" w:hAnsi="宋体" w:cs="宋体"/>
                <w:color w:val="FF0000"/>
                <w:sz w:val="21"/>
                <w:szCs w:val="21"/>
                <w:highlight w:val="none"/>
              </w:rPr>
            </w:pPr>
            <w:r>
              <w:rPr>
                <w:rFonts w:hint="eastAsia"/>
                <w:color w:val="FF0000"/>
                <w:sz w:val="21"/>
                <w:szCs w:val="21"/>
                <w:highlight w:val="none"/>
              </w:rPr>
              <w:t>张徐华</w:t>
            </w:r>
          </w:p>
        </w:tc>
        <w:tc>
          <w:tcPr>
            <w:tcW w:w="1559" w:type="dxa"/>
            <w:noWrap w:val="0"/>
            <w:vAlign w:val="center"/>
          </w:tcPr>
          <w:p>
            <w:pPr>
              <w:spacing w:line="320" w:lineRule="exact"/>
              <w:jc w:val="center"/>
              <w:rPr>
                <w:rFonts w:hAnsi="宋体"/>
                <w:color w:val="FF0000"/>
                <w:sz w:val="21"/>
                <w:szCs w:val="21"/>
                <w:highlight w:val="none"/>
              </w:rPr>
            </w:pPr>
            <w:r>
              <w:rPr>
                <w:rFonts w:hint="eastAsia" w:ascii="宋体" w:hAnsi="宋体" w:cs="宋体"/>
                <w:color w:val="FF0000"/>
                <w:sz w:val="21"/>
                <w:szCs w:val="21"/>
                <w:highlight w:val="none"/>
                <w:lang w:eastAsia="zh-CN"/>
              </w:rPr>
              <w:t>加油员</w:t>
            </w:r>
          </w:p>
        </w:tc>
        <w:tc>
          <w:tcPr>
            <w:tcW w:w="6095" w:type="dxa"/>
            <w:vMerge w:val="continue"/>
            <w:noWrap w:val="0"/>
            <w:vAlign w:val="center"/>
          </w:tcPr>
          <w:p>
            <w:pPr>
              <w:spacing w:line="320" w:lineRule="exact"/>
              <w:jc w:val="center"/>
              <w:rPr>
                <w:color w:val="000000"/>
                <w:sz w:val="21"/>
                <w:szCs w:val="21"/>
                <w:highlight w:val="none"/>
              </w:rPr>
            </w:pPr>
          </w:p>
        </w:tc>
        <w:tc>
          <w:tcPr>
            <w:tcW w:w="1844" w:type="dxa"/>
            <w:noWrap w:val="0"/>
            <w:vAlign w:val="center"/>
          </w:tcPr>
          <w:p>
            <w:pPr>
              <w:spacing w:line="320" w:lineRule="exact"/>
              <w:jc w:val="center"/>
              <w:rPr>
                <w:color w:val="FF0000"/>
                <w:sz w:val="21"/>
                <w:szCs w:val="21"/>
                <w:highlight w:val="none"/>
              </w:rPr>
            </w:pPr>
            <w:r>
              <w:rPr>
                <w:rFonts w:hint="eastAsia"/>
                <w:color w:val="FF0000"/>
                <w:sz w:val="21"/>
                <w:szCs w:val="21"/>
                <w:highlight w:val="none"/>
              </w:rPr>
              <w:t>17370891386</w:t>
            </w:r>
          </w:p>
        </w:tc>
        <w:tc>
          <w:tcPr>
            <w:tcW w:w="2373" w:type="dxa"/>
            <w:noWrap w:val="0"/>
            <w:vAlign w:val="center"/>
          </w:tcPr>
          <w:p>
            <w:pPr>
              <w:spacing w:line="320" w:lineRule="exact"/>
              <w:jc w:val="center"/>
              <w:rPr>
                <w:color w:val="000000"/>
                <w:sz w:val="21"/>
                <w:szCs w:val="21"/>
                <w:highlight w:val="none"/>
              </w:rPr>
            </w:pPr>
            <w:r>
              <w:rPr>
                <w:rFonts w:hAnsi="宋体"/>
                <w:color w:val="000000"/>
                <w:sz w:val="21"/>
                <w:szCs w:val="21"/>
                <w:highlight w:val="none"/>
              </w:rPr>
              <w:t>污染处置组组长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101" w:type="dxa"/>
            <w:vMerge w:val="continue"/>
            <w:noWrap w:val="0"/>
            <w:vAlign w:val="center"/>
          </w:tcPr>
          <w:p>
            <w:pPr>
              <w:spacing w:line="320" w:lineRule="exact"/>
              <w:jc w:val="center"/>
              <w:rPr>
                <w:color w:val="000000"/>
                <w:sz w:val="21"/>
                <w:szCs w:val="21"/>
                <w:highlight w:val="none"/>
              </w:rPr>
            </w:pPr>
          </w:p>
        </w:tc>
        <w:tc>
          <w:tcPr>
            <w:tcW w:w="1134" w:type="dxa"/>
            <w:noWrap w:val="0"/>
            <w:vAlign w:val="center"/>
          </w:tcPr>
          <w:p>
            <w:pPr>
              <w:spacing w:line="320" w:lineRule="exact"/>
              <w:jc w:val="center"/>
              <w:rPr>
                <w:rFonts w:ascii="宋体" w:hAnsi="宋体" w:cs="宋体"/>
                <w:color w:val="FF0000"/>
                <w:sz w:val="21"/>
                <w:szCs w:val="21"/>
                <w:highlight w:val="none"/>
              </w:rPr>
            </w:pPr>
            <w:r>
              <w:rPr>
                <w:rFonts w:hint="eastAsia" w:ascii="宋体" w:hAnsi="宋体" w:cs="宋体"/>
                <w:color w:val="FF0000"/>
                <w:sz w:val="21"/>
                <w:szCs w:val="21"/>
                <w:highlight w:val="none"/>
                <w:lang w:eastAsia="zh-CN"/>
              </w:rPr>
              <w:t>雷鸣</w:t>
            </w:r>
          </w:p>
        </w:tc>
        <w:tc>
          <w:tcPr>
            <w:tcW w:w="1559" w:type="dxa"/>
            <w:noWrap w:val="0"/>
            <w:vAlign w:val="top"/>
          </w:tcPr>
          <w:p>
            <w:pPr>
              <w:spacing w:line="320" w:lineRule="exact"/>
              <w:jc w:val="center"/>
              <w:rPr>
                <w:color w:val="FF0000"/>
                <w:sz w:val="21"/>
                <w:szCs w:val="21"/>
                <w:highlight w:val="none"/>
              </w:rPr>
            </w:pPr>
            <w:r>
              <w:rPr>
                <w:rFonts w:hint="eastAsia" w:ascii="宋体" w:hAnsi="宋体" w:cs="宋体"/>
                <w:color w:val="FF0000"/>
                <w:sz w:val="21"/>
                <w:szCs w:val="21"/>
                <w:highlight w:val="none"/>
                <w:lang w:eastAsia="zh-CN"/>
              </w:rPr>
              <w:t>加油员</w:t>
            </w:r>
          </w:p>
        </w:tc>
        <w:tc>
          <w:tcPr>
            <w:tcW w:w="6095" w:type="dxa"/>
            <w:vMerge w:val="continue"/>
            <w:noWrap w:val="0"/>
            <w:vAlign w:val="center"/>
          </w:tcPr>
          <w:p>
            <w:pPr>
              <w:spacing w:line="320" w:lineRule="exact"/>
              <w:jc w:val="center"/>
              <w:rPr>
                <w:color w:val="000000"/>
                <w:sz w:val="21"/>
                <w:szCs w:val="21"/>
                <w:highlight w:val="none"/>
              </w:rPr>
            </w:pPr>
          </w:p>
        </w:tc>
        <w:tc>
          <w:tcPr>
            <w:tcW w:w="1844" w:type="dxa"/>
            <w:noWrap w:val="0"/>
            <w:vAlign w:val="center"/>
          </w:tcPr>
          <w:p>
            <w:pPr>
              <w:spacing w:line="320" w:lineRule="exact"/>
              <w:jc w:val="center"/>
              <w:rPr>
                <w:color w:val="FF0000"/>
                <w:sz w:val="21"/>
                <w:szCs w:val="21"/>
                <w:highlight w:val="none"/>
              </w:rPr>
            </w:pPr>
            <w:r>
              <w:rPr>
                <w:rFonts w:hint="eastAsia"/>
                <w:color w:val="FF0000"/>
                <w:sz w:val="21"/>
                <w:szCs w:val="21"/>
                <w:highlight w:val="none"/>
                <w:lang w:val="en-US" w:eastAsia="zh-CN"/>
              </w:rPr>
              <w:t>13979169210</w:t>
            </w:r>
          </w:p>
        </w:tc>
        <w:tc>
          <w:tcPr>
            <w:tcW w:w="2373" w:type="dxa"/>
            <w:noWrap w:val="0"/>
            <w:vAlign w:val="center"/>
          </w:tcPr>
          <w:p>
            <w:pPr>
              <w:spacing w:line="320" w:lineRule="exact"/>
              <w:jc w:val="center"/>
              <w:rPr>
                <w:color w:val="000000"/>
                <w:sz w:val="21"/>
                <w:szCs w:val="21"/>
                <w:highlight w:val="none"/>
              </w:rPr>
            </w:pPr>
            <w:r>
              <w:rPr>
                <w:rFonts w:hAnsi="宋体"/>
                <w:color w:val="000000"/>
                <w:sz w:val="21"/>
                <w:szCs w:val="21"/>
                <w:highlight w:val="none"/>
              </w:rPr>
              <w:t>应急保障组组长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101" w:type="dxa"/>
            <w:vMerge w:val="continue"/>
            <w:noWrap w:val="0"/>
            <w:vAlign w:val="center"/>
          </w:tcPr>
          <w:p>
            <w:pPr>
              <w:spacing w:line="320" w:lineRule="exact"/>
              <w:jc w:val="center"/>
              <w:rPr>
                <w:color w:val="000000"/>
                <w:sz w:val="21"/>
                <w:szCs w:val="21"/>
                <w:highlight w:val="none"/>
              </w:rPr>
            </w:pPr>
          </w:p>
        </w:tc>
        <w:tc>
          <w:tcPr>
            <w:tcW w:w="1134" w:type="dxa"/>
            <w:noWrap w:val="0"/>
            <w:vAlign w:val="center"/>
          </w:tcPr>
          <w:p>
            <w:pPr>
              <w:spacing w:line="320" w:lineRule="exact"/>
              <w:jc w:val="center"/>
              <w:rPr>
                <w:rFonts w:ascii="宋体" w:hAnsi="宋体" w:cs="宋体"/>
                <w:color w:val="FF0000"/>
                <w:sz w:val="21"/>
                <w:szCs w:val="21"/>
                <w:highlight w:val="none"/>
              </w:rPr>
            </w:pPr>
            <w:r>
              <w:rPr>
                <w:rFonts w:hint="eastAsia" w:ascii="宋体" w:hAnsi="宋体" w:cs="宋体"/>
                <w:color w:val="FF0000"/>
                <w:sz w:val="21"/>
                <w:szCs w:val="21"/>
                <w:highlight w:val="none"/>
                <w:lang w:eastAsia="zh-CN"/>
              </w:rPr>
              <w:t>付艳琴</w:t>
            </w:r>
          </w:p>
        </w:tc>
        <w:tc>
          <w:tcPr>
            <w:tcW w:w="1559" w:type="dxa"/>
            <w:noWrap w:val="0"/>
            <w:vAlign w:val="top"/>
          </w:tcPr>
          <w:p>
            <w:pPr>
              <w:spacing w:line="320" w:lineRule="exact"/>
              <w:jc w:val="center"/>
              <w:rPr>
                <w:color w:val="FF0000"/>
                <w:sz w:val="21"/>
                <w:szCs w:val="21"/>
                <w:highlight w:val="none"/>
              </w:rPr>
            </w:pPr>
            <w:r>
              <w:rPr>
                <w:rFonts w:hint="eastAsia" w:ascii="宋体" w:hAnsi="宋体" w:cs="宋体"/>
                <w:color w:val="FF0000"/>
                <w:sz w:val="21"/>
                <w:szCs w:val="21"/>
                <w:highlight w:val="none"/>
                <w:lang w:eastAsia="zh-CN"/>
              </w:rPr>
              <w:t>加油员</w:t>
            </w:r>
          </w:p>
        </w:tc>
        <w:tc>
          <w:tcPr>
            <w:tcW w:w="6095" w:type="dxa"/>
            <w:vMerge w:val="continue"/>
            <w:noWrap w:val="0"/>
            <w:vAlign w:val="center"/>
          </w:tcPr>
          <w:p>
            <w:pPr>
              <w:spacing w:line="320" w:lineRule="exact"/>
              <w:jc w:val="center"/>
              <w:rPr>
                <w:color w:val="000000"/>
                <w:sz w:val="21"/>
                <w:szCs w:val="21"/>
                <w:highlight w:val="none"/>
              </w:rPr>
            </w:pPr>
          </w:p>
        </w:tc>
        <w:tc>
          <w:tcPr>
            <w:tcW w:w="1844" w:type="dxa"/>
            <w:noWrap w:val="0"/>
            <w:vAlign w:val="center"/>
          </w:tcPr>
          <w:p>
            <w:pPr>
              <w:spacing w:line="320" w:lineRule="exact"/>
              <w:jc w:val="center"/>
              <w:rPr>
                <w:color w:val="FF0000"/>
                <w:sz w:val="21"/>
                <w:szCs w:val="21"/>
                <w:highlight w:val="none"/>
              </w:rPr>
            </w:pPr>
            <w:r>
              <w:rPr>
                <w:rFonts w:hint="eastAsia"/>
                <w:color w:val="FF0000"/>
                <w:sz w:val="21"/>
                <w:szCs w:val="21"/>
                <w:highlight w:val="none"/>
                <w:lang w:val="en-US" w:eastAsia="zh-CN"/>
              </w:rPr>
              <w:t>15070930822</w:t>
            </w:r>
          </w:p>
        </w:tc>
        <w:tc>
          <w:tcPr>
            <w:tcW w:w="2373" w:type="dxa"/>
            <w:noWrap w:val="0"/>
            <w:vAlign w:val="center"/>
          </w:tcPr>
          <w:p>
            <w:pPr>
              <w:spacing w:line="320" w:lineRule="exact"/>
              <w:jc w:val="center"/>
              <w:rPr>
                <w:color w:val="000000"/>
                <w:sz w:val="21"/>
                <w:szCs w:val="21"/>
                <w:highlight w:val="none"/>
              </w:rPr>
            </w:pPr>
            <w:r>
              <w:rPr>
                <w:rFonts w:hAnsi="宋体"/>
                <w:color w:val="000000"/>
                <w:sz w:val="21"/>
                <w:szCs w:val="21"/>
                <w:highlight w:val="none"/>
              </w:rPr>
              <w:t>医疗救护组组长</w:t>
            </w:r>
          </w:p>
        </w:tc>
      </w:tr>
    </w:tbl>
    <w:p>
      <w:pPr>
        <w:pStyle w:val="2"/>
        <w:rPr>
          <w:rFonts w:hAnsi="宋体"/>
          <w:b/>
          <w:color w:val="000000"/>
          <w:kern w:val="0"/>
          <w:szCs w:val="21"/>
        </w:rPr>
      </w:pPr>
    </w:p>
    <w:p>
      <w:pPr>
        <w:pStyle w:val="2"/>
        <w:rPr>
          <w:rFonts w:hAnsi="宋体"/>
          <w:b/>
          <w:color w:val="000000"/>
          <w:kern w:val="0"/>
          <w:szCs w:val="21"/>
        </w:rPr>
      </w:pPr>
    </w:p>
    <w:p>
      <w:pPr>
        <w:pStyle w:val="2"/>
        <w:rPr>
          <w:rFonts w:hAnsi="宋体"/>
          <w:b/>
          <w:color w:val="000000"/>
          <w:kern w:val="0"/>
          <w:szCs w:val="21"/>
        </w:rPr>
      </w:pPr>
    </w:p>
    <w:p>
      <w:pPr>
        <w:pStyle w:val="2"/>
        <w:rPr>
          <w:rFonts w:hAnsi="宋体"/>
          <w:b/>
          <w:color w:val="000000"/>
          <w:kern w:val="0"/>
          <w:szCs w:val="21"/>
        </w:rPr>
      </w:pPr>
    </w:p>
    <w:p>
      <w:pPr>
        <w:pStyle w:val="2"/>
        <w:rPr>
          <w:rFonts w:hAnsi="宋体"/>
          <w:b/>
          <w:color w:val="000000"/>
          <w:kern w:val="0"/>
          <w:szCs w:val="21"/>
        </w:rPr>
      </w:pPr>
    </w:p>
    <w:p>
      <w:pPr>
        <w:jc w:val="center"/>
        <w:rPr>
          <w:rFonts w:hAnsi="宋体"/>
          <w:b/>
          <w:color w:val="000000"/>
          <w:kern w:val="0"/>
          <w:szCs w:val="21"/>
        </w:rPr>
      </w:pPr>
    </w:p>
    <w:p>
      <w:pPr>
        <w:jc w:val="center"/>
        <w:rPr>
          <w:rFonts w:hAnsi="宋体"/>
          <w:b/>
          <w:color w:val="000000"/>
          <w:kern w:val="0"/>
          <w:szCs w:val="21"/>
        </w:rPr>
      </w:pPr>
    </w:p>
    <w:p>
      <w:pPr>
        <w:jc w:val="center"/>
        <w:rPr>
          <w:rFonts w:hAnsi="宋体"/>
          <w:b/>
          <w:color w:val="000000"/>
          <w:kern w:val="0"/>
          <w:szCs w:val="21"/>
        </w:rPr>
      </w:pPr>
    </w:p>
    <w:p>
      <w:pPr>
        <w:spacing w:line="440" w:lineRule="exact"/>
        <w:jc w:val="center"/>
        <w:rPr>
          <w:rFonts w:hint="eastAsia" w:hAnsi="宋体"/>
          <w:b/>
          <w:color w:val="000000"/>
          <w:kern w:val="0"/>
          <w:szCs w:val="21"/>
        </w:rPr>
      </w:pPr>
      <w:r>
        <w:rPr>
          <w:rFonts w:hint="eastAsia" w:hAnsi="宋体"/>
          <w:b/>
          <w:color w:val="000000"/>
          <w:kern w:val="0"/>
          <w:szCs w:val="21"/>
        </w:rPr>
        <w:t>表4.2-2各应急响应小组及职责</w:t>
      </w:r>
    </w:p>
    <w:tbl>
      <w:tblPr>
        <w:tblStyle w:val="31"/>
        <w:tblW w:w="1410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7"/>
        <w:gridCol w:w="2102"/>
        <w:gridCol w:w="10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181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color w:val="000000"/>
                <w:sz w:val="21"/>
              </w:rPr>
            </w:pPr>
            <w:r>
              <w:rPr>
                <w:rFonts w:hAnsi="宋体"/>
                <w:color w:val="000000"/>
                <w:sz w:val="21"/>
              </w:rPr>
              <w:t>所在组别</w:t>
            </w:r>
          </w:p>
        </w:tc>
        <w:tc>
          <w:tcPr>
            <w:tcW w:w="21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color w:val="000000"/>
                <w:sz w:val="21"/>
              </w:rPr>
            </w:pPr>
            <w:r>
              <w:rPr>
                <w:rFonts w:hAnsi="宋体"/>
                <w:color w:val="000000"/>
                <w:sz w:val="21"/>
              </w:rPr>
              <w:t>责任人</w:t>
            </w:r>
          </w:p>
        </w:tc>
        <w:tc>
          <w:tcPr>
            <w:tcW w:w="1018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color w:val="000000"/>
                <w:sz w:val="21"/>
              </w:rPr>
            </w:pPr>
            <w:r>
              <w:rPr>
                <w:rFonts w:hAnsi="宋体"/>
                <w:color w:val="000000"/>
                <w:sz w:val="21"/>
              </w:rPr>
              <w:t>主要职责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81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color w:val="000000"/>
                <w:sz w:val="21"/>
              </w:rPr>
            </w:pPr>
            <w:r>
              <w:rPr>
                <w:rFonts w:hAnsi="宋体"/>
                <w:color w:val="000000"/>
                <w:sz w:val="21"/>
              </w:rPr>
              <w:t>污染处置组</w:t>
            </w:r>
          </w:p>
        </w:tc>
        <w:tc>
          <w:tcPr>
            <w:tcW w:w="21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color w:val="000000"/>
                <w:sz w:val="21"/>
              </w:rPr>
            </w:pPr>
            <w:r>
              <w:rPr>
                <w:rFonts w:hint="eastAsia"/>
                <w:color w:val="FF0000"/>
                <w:sz w:val="21"/>
                <w:szCs w:val="21"/>
                <w:highlight w:val="none"/>
                <w:lang w:eastAsia="zh-CN"/>
              </w:rPr>
              <w:t>熊雄</w:t>
            </w:r>
          </w:p>
        </w:tc>
        <w:tc>
          <w:tcPr>
            <w:tcW w:w="1018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color w:val="000000"/>
                <w:sz w:val="21"/>
              </w:rPr>
            </w:pPr>
            <w:r>
              <w:rPr>
                <w:rFonts w:hAnsi="宋体"/>
                <w:color w:val="000000"/>
                <w:sz w:val="21"/>
              </w:rPr>
              <w:t>收集汇总相关数据，及时掌握突发环境事件的地点及影响范围，组织进行技术研判，开展事态分析；迅速组织切断污染源，分析污染途径，确定防止污染物扩散的程序；组织采取有效措施，消除或减轻已经造成的污染；明确不同情况下的现场处置人员须采取的个人防护措施；组织建立现场警戒区和交通管制区域，确定重点防护区域，确定受威胁人员疏散的方式和途径，疏散转移受威胁人员至安全紧急避险场所；应急物资的保管及维护，及时上报需购置的应急物资清单。完成指挥部交办的其他事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81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color w:val="000000"/>
                <w:sz w:val="21"/>
              </w:rPr>
            </w:pPr>
            <w:r>
              <w:rPr>
                <w:rFonts w:hAnsi="宋体"/>
                <w:color w:val="000000"/>
                <w:sz w:val="21"/>
              </w:rPr>
              <w:t>应急监测组</w:t>
            </w:r>
          </w:p>
        </w:tc>
        <w:tc>
          <w:tcPr>
            <w:tcW w:w="2102"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color w:val="000000"/>
                <w:sz w:val="21"/>
              </w:rPr>
            </w:pPr>
            <w:r>
              <w:rPr>
                <w:rFonts w:hint="eastAsia"/>
                <w:color w:val="FF0000"/>
                <w:sz w:val="21"/>
                <w:szCs w:val="21"/>
                <w:highlight w:val="none"/>
              </w:rPr>
              <w:t>熊海媛</w:t>
            </w:r>
          </w:p>
        </w:tc>
        <w:tc>
          <w:tcPr>
            <w:tcW w:w="1018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color w:val="000000"/>
                <w:sz w:val="21"/>
              </w:rPr>
            </w:pPr>
            <w:r>
              <w:rPr>
                <w:rFonts w:hAnsi="宋体"/>
                <w:color w:val="000000"/>
                <w:sz w:val="21"/>
              </w:rPr>
              <w:t>联系外部单位进行应急监测，确定事故的影响范围。完成指挥部交办的其他事宜。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81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color w:val="000000"/>
                <w:sz w:val="21"/>
              </w:rPr>
            </w:pPr>
            <w:r>
              <w:rPr>
                <w:rFonts w:hAnsi="宋体"/>
                <w:color w:val="000000"/>
                <w:sz w:val="21"/>
              </w:rPr>
              <w:t>应急保障组</w:t>
            </w:r>
          </w:p>
        </w:tc>
        <w:tc>
          <w:tcPr>
            <w:tcW w:w="21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color w:val="000000"/>
                <w:sz w:val="21"/>
              </w:rPr>
            </w:pPr>
            <w:r>
              <w:rPr>
                <w:rFonts w:hint="eastAsia" w:ascii="宋体" w:hAnsi="宋体" w:cs="宋体"/>
                <w:color w:val="FF0000"/>
                <w:sz w:val="21"/>
                <w:szCs w:val="21"/>
                <w:highlight w:val="none"/>
                <w:lang w:eastAsia="zh-CN"/>
              </w:rPr>
              <w:t>李荣</w:t>
            </w:r>
          </w:p>
        </w:tc>
        <w:tc>
          <w:tcPr>
            <w:tcW w:w="1018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color w:val="000000"/>
                <w:sz w:val="21"/>
              </w:rPr>
            </w:pPr>
            <w:r>
              <w:rPr>
                <w:rFonts w:hAnsi="宋体"/>
                <w:color w:val="000000"/>
                <w:sz w:val="21"/>
              </w:rPr>
              <w:t>负责应急物资的采购和维护；完成指挥部交办的其他事宜。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81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color w:val="000000"/>
                <w:sz w:val="21"/>
                <w:highlight w:val="yellow"/>
              </w:rPr>
            </w:pPr>
            <w:r>
              <w:rPr>
                <w:rFonts w:hAnsi="宋体"/>
                <w:color w:val="000000"/>
                <w:sz w:val="21"/>
                <w:highlight w:val="yellow"/>
              </w:rPr>
              <w:t>医疗救护组</w:t>
            </w:r>
          </w:p>
        </w:tc>
        <w:tc>
          <w:tcPr>
            <w:tcW w:w="21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color w:val="000000"/>
                <w:sz w:val="21"/>
              </w:rPr>
            </w:pPr>
            <w:r>
              <w:rPr>
                <w:rFonts w:hint="eastAsia"/>
                <w:color w:val="FF0000"/>
                <w:sz w:val="21"/>
                <w:szCs w:val="21"/>
                <w:highlight w:val="none"/>
              </w:rPr>
              <w:t>张徐华</w:t>
            </w:r>
          </w:p>
        </w:tc>
        <w:tc>
          <w:tcPr>
            <w:tcW w:w="1018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color w:val="000000"/>
                <w:sz w:val="21"/>
              </w:rPr>
            </w:pPr>
            <w:r>
              <w:rPr>
                <w:rFonts w:hAnsi="宋体"/>
                <w:color w:val="000000"/>
                <w:sz w:val="21"/>
              </w:rPr>
              <w:t>受伤人员的紧急救治及送医；完成指挥部交办的其他事宜。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81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color w:val="000000"/>
                <w:sz w:val="21"/>
                <w:highlight w:val="yellow"/>
              </w:rPr>
            </w:pPr>
            <w:r>
              <w:rPr>
                <w:rFonts w:hAnsi="宋体"/>
                <w:color w:val="000000"/>
                <w:sz w:val="21"/>
                <w:highlight w:val="yellow"/>
              </w:rPr>
              <w:t>社会稳定组</w:t>
            </w:r>
          </w:p>
        </w:tc>
        <w:tc>
          <w:tcPr>
            <w:tcW w:w="21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color w:val="000000"/>
                <w:sz w:val="21"/>
              </w:rPr>
            </w:pPr>
            <w:r>
              <w:rPr>
                <w:rFonts w:hint="eastAsia" w:ascii="宋体" w:hAnsi="宋体" w:cs="宋体"/>
                <w:color w:val="FF0000"/>
                <w:sz w:val="21"/>
                <w:szCs w:val="21"/>
                <w:highlight w:val="none"/>
                <w:lang w:eastAsia="zh-CN"/>
              </w:rPr>
              <w:t>雷鸣</w:t>
            </w:r>
          </w:p>
        </w:tc>
        <w:tc>
          <w:tcPr>
            <w:tcW w:w="1018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color w:val="000000"/>
                <w:sz w:val="21"/>
              </w:rPr>
            </w:pPr>
            <w:r>
              <w:rPr>
                <w:rFonts w:hAnsi="宋体"/>
                <w:color w:val="000000"/>
                <w:sz w:val="21"/>
              </w:rPr>
              <w:t>做好与受影响单位、个人的纠纷处置工作；配合县社会稳定组的工作；完成指挥部交办的其他事宜。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 w:hRule="atLeast"/>
          <w:jc w:val="center"/>
        </w:trPr>
        <w:tc>
          <w:tcPr>
            <w:tcW w:w="181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color w:val="000000"/>
                <w:sz w:val="21"/>
                <w:highlight w:val="yellow"/>
              </w:rPr>
            </w:pPr>
            <w:r>
              <w:rPr>
                <w:rFonts w:hAnsi="宋体"/>
                <w:color w:val="000000"/>
                <w:sz w:val="21"/>
                <w:highlight w:val="yellow"/>
              </w:rPr>
              <w:t>新闻宣传组</w:t>
            </w:r>
          </w:p>
        </w:tc>
        <w:tc>
          <w:tcPr>
            <w:tcW w:w="21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color w:val="000000"/>
                <w:sz w:val="21"/>
              </w:rPr>
            </w:pPr>
            <w:r>
              <w:rPr>
                <w:rFonts w:hint="eastAsia" w:ascii="宋体" w:hAnsi="宋体" w:cs="宋体"/>
                <w:color w:val="FF0000"/>
                <w:sz w:val="21"/>
                <w:szCs w:val="21"/>
                <w:highlight w:val="none"/>
                <w:lang w:eastAsia="zh-CN"/>
              </w:rPr>
              <w:t>付艳琴</w:t>
            </w:r>
          </w:p>
        </w:tc>
        <w:tc>
          <w:tcPr>
            <w:tcW w:w="1018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color w:val="000000"/>
                <w:sz w:val="21"/>
              </w:rPr>
            </w:pPr>
            <w:r>
              <w:rPr>
                <w:rFonts w:hAnsi="宋体"/>
                <w:color w:val="000000"/>
                <w:sz w:val="21"/>
              </w:rPr>
              <w:t>做好公司和突发环境事件工作的对外宣传，配合县新闻宣传组完成工作；完成指挥部交办的其他事宜。</w:t>
            </w:r>
          </w:p>
        </w:tc>
      </w:tr>
    </w:tbl>
    <w:p>
      <w:pPr>
        <w:shd w:val="clear" w:color="auto" w:fill="FFFFFF"/>
        <w:autoSpaceDE w:val="0"/>
        <w:spacing w:line="440" w:lineRule="exact"/>
        <w:ind w:firstLine="420" w:firstLineChars="200"/>
        <w:jc w:val="left"/>
        <w:rPr>
          <w:rFonts w:hAnsi="宋体"/>
          <w:kern w:val="0"/>
          <w:szCs w:val="21"/>
        </w:rPr>
      </w:pPr>
      <w:r>
        <w:rPr>
          <w:rFonts w:hint="eastAsia" w:hAnsi="宋体"/>
          <w:kern w:val="0"/>
          <w:szCs w:val="21"/>
        </w:rPr>
        <w:t>注：企业根据事故需要成立应急小组，应急小组设置与县突发环境事件应急预案小组设置一一对应，在启动区突发环境事件应急预案时，配合相对应政府应急工作组开展工作。</w:t>
      </w:r>
    </w:p>
    <w:p>
      <w:pPr>
        <w:shd w:val="clear" w:color="auto" w:fill="FFFFFF"/>
        <w:autoSpaceDE w:val="0"/>
        <w:spacing w:line="400" w:lineRule="exact"/>
        <w:ind w:firstLine="560" w:firstLineChars="200"/>
        <w:jc w:val="left"/>
        <w:rPr>
          <w:rFonts w:ascii="宋体" w:hAnsi="宋体"/>
          <w:sz w:val="28"/>
          <w:szCs w:val="28"/>
        </w:rPr>
        <w:sectPr>
          <w:pgSz w:w="16838" w:h="11906" w:orient="landscape"/>
          <w:pgMar w:top="1800" w:right="1440" w:bottom="1800" w:left="1440" w:header="851" w:footer="992" w:gutter="0"/>
          <w:cols w:space="425" w:num="1"/>
          <w:docGrid w:type="lines" w:linePitch="312" w:charSpace="0"/>
        </w:sectPr>
      </w:pPr>
    </w:p>
    <w:p>
      <w:pPr>
        <w:outlineLvl w:val="0"/>
        <w:rPr>
          <w:rFonts w:eastAsia="楷体"/>
          <w:b/>
          <w:snapToGrid w:val="0"/>
          <w:spacing w:val="4"/>
          <w:kern w:val="0"/>
          <w:sz w:val="30"/>
          <w:szCs w:val="32"/>
        </w:rPr>
      </w:pPr>
      <w:bookmarkStart w:id="125" w:name="_Toc10105677"/>
      <w:bookmarkStart w:id="126" w:name="_Toc484163991"/>
      <w:r>
        <w:rPr>
          <w:rFonts w:eastAsia="楷体"/>
          <w:b/>
          <w:snapToGrid w:val="0"/>
          <w:spacing w:val="4"/>
          <w:kern w:val="0"/>
          <w:sz w:val="30"/>
          <w:szCs w:val="32"/>
        </w:rPr>
        <w:t>5预防与预警</w:t>
      </w:r>
      <w:bookmarkEnd w:id="125"/>
      <w:bookmarkEnd w:id="126"/>
    </w:p>
    <w:p>
      <w:pPr>
        <w:spacing w:line="440" w:lineRule="exact"/>
        <w:ind w:firstLine="480" w:firstLineChars="200"/>
        <w:rPr>
          <w:bCs/>
          <w:sz w:val="24"/>
        </w:rPr>
      </w:pPr>
      <w:r>
        <w:rPr>
          <w:rFonts w:hAnsi="宋体"/>
          <w:bCs/>
          <w:sz w:val="24"/>
        </w:rPr>
        <w:t>企业应加强对各种可能发生的突发环境事件的监控和预测分析，应急指挥</w:t>
      </w:r>
      <w:r>
        <w:rPr>
          <w:rFonts w:hint="eastAsia" w:hAnsi="宋体"/>
          <w:bCs/>
          <w:sz w:val="24"/>
        </w:rPr>
        <w:t>部</w:t>
      </w:r>
      <w:r>
        <w:rPr>
          <w:rFonts w:hAnsi="宋体"/>
          <w:bCs/>
          <w:sz w:val="24"/>
        </w:rPr>
        <w:t>建立预防预报系统，做到早发现、早报告、早处置。</w:t>
      </w:r>
    </w:p>
    <w:p>
      <w:pPr>
        <w:spacing w:before="60" w:after="60" w:line="500" w:lineRule="exact"/>
        <w:outlineLvl w:val="1"/>
        <w:rPr>
          <w:rFonts w:eastAsia="黑体"/>
          <w:b/>
          <w:snapToGrid w:val="0"/>
          <w:spacing w:val="4"/>
          <w:kern w:val="0"/>
          <w:sz w:val="28"/>
          <w:szCs w:val="30"/>
        </w:rPr>
      </w:pPr>
      <w:bookmarkStart w:id="127" w:name="_Toc333933062"/>
      <w:bookmarkStart w:id="128" w:name="_Toc336596940"/>
      <w:bookmarkStart w:id="129" w:name="_Toc336595782"/>
      <w:bookmarkStart w:id="130" w:name="_Toc336595897"/>
      <w:bookmarkStart w:id="131" w:name="_Toc336595418"/>
      <w:bookmarkStart w:id="132" w:name="_Toc10105678"/>
      <w:bookmarkStart w:id="133" w:name="_Toc332311163"/>
      <w:bookmarkStart w:id="134" w:name="_Toc246062346"/>
      <w:bookmarkStart w:id="135" w:name="_Toc484163992"/>
      <w:bookmarkStart w:id="136" w:name="_Toc225668629"/>
      <w:bookmarkStart w:id="137" w:name="_Toc286324583"/>
      <w:bookmarkStart w:id="138" w:name="_Toc239647126"/>
      <w:r>
        <w:rPr>
          <w:rFonts w:eastAsia="黑体"/>
          <w:b/>
          <w:snapToGrid w:val="0"/>
          <w:spacing w:val="4"/>
          <w:kern w:val="0"/>
          <w:sz w:val="28"/>
          <w:szCs w:val="30"/>
        </w:rPr>
        <w:t>5.1 风险源预防</w:t>
      </w:r>
      <w:bookmarkEnd w:id="127"/>
      <w:bookmarkEnd w:id="128"/>
      <w:bookmarkEnd w:id="129"/>
      <w:bookmarkEnd w:id="130"/>
      <w:bookmarkEnd w:id="131"/>
      <w:bookmarkEnd w:id="132"/>
      <w:bookmarkEnd w:id="133"/>
      <w:bookmarkEnd w:id="134"/>
      <w:bookmarkEnd w:id="135"/>
      <w:bookmarkEnd w:id="136"/>
      <w:bookmarkEnd w:id="137"/>
      <w:bookmarkEnd w:id="138"/>
    </w:p>
    <w:p>
      <w:pPr>
        <w:spacing w:line="440" w:lineRule="exact"/>
        <w:ind w:firstLine="480" w:firstLineChars="200"/>
        <w:rPr>
          <w:bCs/>
          <w:sz w:val="24"/>
        </w:rPr>
      </w:pPr>
      <w:r>
        <w:rPr>
          <w:rFonts w:hAnsi="宋体"/>
          <w:bCs/>
          <w:sz w:val="24"/>
        </w:rPr>
        <w:t>定期开展对环境风险源的调查评估工作，有针对性的提出和更新相应的风险防范和应对措施，建立并逐步完善的环境风险源监控体系，配备必要的监控仪器和技术人员；建立健全各项安全及环境保护管理和责任制度，强化管理，落实责任，突出环境风险意识。</w:t>
      </w:r>
    </w:p>
    <w:p>
      <w:pPr>
        <w:adjustRightInd w:val="0"/>
        <w:snapToGrid w:val="0"/>
        <w:spacing w:line="440" w:lineRule="exact"/>
        <w:ind w:firstLine="480" w:firstLineChars="200"/>
        <w:rPr>
          <w:color w:val="000000" w:themeColor="text1"/>
          <w:sz w:val="24"/>
          <w:szCs w:val="28"/>
          <w14:textFill>
            <w14:solidFill>
              <w14:schemeClr w14:val="tx1"/>
            </w14:solidFill>
          </w14:textFill>
        </w:rPr>
      </w:pPr>
      <w:r>
        <w:rPr>
          <w:rFonts w:hAnsi="宋体"/>
          <w:bCs/>
          <w:sz w:val="24"/>
        </w:rPr>
        <w:t>（</w:t>
      </w:r>
      <w:r>
        <w:rPr>
          <w:bCs/>
          <w:sz w:val="24"/>
        </w:rPr>
        <w:t>1</w:t>
      </w:r>
      <w:r>
        <w:rPr>
          <w:rFonts w:hAnsi="宋体"/>
          <w:bCs/>
          <w:color w:val="000000" w:themeColor="text1"/>
          <w:sz w:val="24"/>
          <w14:textFill>
            <w14:solidFill>
              <w14:schemeClr w14:val="tx1"/>
            </w14:solidFill>
          </w14:textFill>
        </w:rPr>
        <w:t>）</w:t>
      </w:r>
      <w:r>
        <w:rPr>
          <w:rFonts w:hint="eastAsia" w:hAnsi="宋体"/>
          <w:color w:val="000000" w:themeColor="text1"/>
          <w:sz w:val="24"/>
          <w:szCs w:val="28"/>
          <w14:textFill>
            <w14:solidFill>
              <w14:schemeClr w14:val="tx1"/>
            </w14:solidFill>
          </w14:textFill>
        </w:rPr>
        <w:t>各车间按照各自分工</w:t>
      </w:r>
      <w:r>
        <w:rPr>
          <w:rFonts w:hAnsi="宋体"/>
          <w:color w:val="000000" w:themeColor="text1"/>
          <w:sz w:val="24"/>
          <w:szCs w:val="28"/>
          <w14:textFill>
            <w14:solidFill>
              <w14:schemeClr w14:val="tx1"/>
            </w14:solidFill>
          </w14:textFill>
        </w:rPr>
        <w:t>对</w:t>
      </w:r>
      <w:r>
        <w:rPr>
          <w:rFonts w:hint="eastAsia" w:hAnsi="宋体"/>
          <w:color w:val="000000" w:themeColor="text1"/>
          <w:sz w:val="24"/>
          <w:szCs w:val="28"/>
          <w14:textFill>
            <w14:solidFill>
              <w14:schemeClr w14:val="tx1"/>
            </w14:solidFill>
          </w14:textFill>
        </w:rPr>
        <w:t>所涉环节进行</w:t>
      </w:r>
      <w:r>
        <w:rPr>
          <w:rFonts w:hAnsi="宋体"/>
          <w:color w:val="000000" w:themeColor="text1"/>
          <w:sz w:val="24"/>
          <w:szCs w:val="28"/>
          <w14:textFill>
            <w14:solidFill>
              <w14:schemeClr w14:val="tx1"/>
            </w14:solidFill>
          </w14:textFill>
        </w:rPr>
        <w:t>监督检查；</w:t>
      </w:r>
    </w:p>
    <w:p>
      <w:pPr>
        <w:adjustRightInd w:val="0"/>
        <w:snapToGrid w:val="0"/>
        <w:spacing w:line="440" w:lineRule="exact"/>
        <w:ind w:firstLine="480" w:firstLineChars="200"/>
        <w:rPr>
          <w:sz w:val="24"/>
          <w:szCs w:val="28"/>
        </w:rPr>
      </w:pPr>
      <w:r>
        <w:rPr>
          <w:rFonts w:hAnsi="宋体"/>
          <w:bCs/>
          <w:sz w:val="24"/>
        </w:rPr>
        <w:t>（</w:t>
      </w:r>
      <w:r>
        <w:rPr>
          <w:bCs/>
          <w:sz w:val="24"/>
        </w:rPr>
        <w:t>2</w:t>
      </w:r>
      <w:r>
        <w:rPr>
          <w:rFonts w:hAnsi="宋体"/>
          <w:bCs/>
          <w:sz w:val="24"/>
        </w:rPr>
        <w:t>）</w:t>
      </w:r>
      <w:r>
        <w:rPr>
          <w:rFonts w:hAnsi="宋体"/>
          <w:sz w:val="24"/>
          <w:szCs w:val="28"/>
        </w:rPr>
        <w:t>定期安排专业人员对环境风险源开展调查评估工作，发现异常情况及时进行处理，确保全员掌握环境风险源的种类、分布和规模，摸清各装置和风险源的底数，了解各风险源、风险物质的技术信息和理化特性，提出和更新相应的风险防范和应对措施；</w:t>
      </w:r>
    </w:p>
    <w:p>
      <w:pPr>
        <w:adjustRightInd w:val="0"/>
        <w:snapToGrid w:val="0"/>
        <w:spacing w:line="440" w:lineRule="exact"/>
        <w:ind w:firstLine="480" w:firstLineChars="200"/>
        <w:rPr>
          <w:sz w:val="24"/>
          <w:szCs w:val="28"/>
        </w:rPr>
      </w:pPr>
      <w:r>
        <w:rPr>
          <w:rFonts w:hAnsi="宋体"/>
          <w:bCs/>
          <w:sz w:val="24"/>
        </w:rPr>
        <w:t>（</w:t>
      </w:r>
      <w:r>
        <w:rPr>
          <w:bCs/>
          <w:sz w:val="24"/>
        </w:rPr>
        <w:t>3</w:t>
      </w:r>
      <w:r>
        <w:rPr>
          <w:rFonts w:hAnsi="宋体"/>
          <w:bCs/>
          <w:sz w:val="24"/>
        </w:rPr>
        <w:t>）</w:t>
      </w:r>
      <w:r>
        <w:rPr>
          <w:rFonts w:hAnsi="宋体"/>
          <w:sz w:val="24"/>
          <w:szCs w:val="28"/>
        </w:rPr>
        <w:t>建立健全突发环境事件应急值班制度、应急演练制度、应急培训制度、应急预案更新制度、应急救援物资设备设施防护装备检查维护制度、责任追究制度</w:t>
      </w:r>
      <w:r>
        <w:rPr>
          <w:rFonts w:hAnsi="宋体"/>
          <w:sz w:val="24"/>
          <w:szCs w:val="28"/>
          <w:lang w:val="zh-CN"/>
        </w:rPr>
        <w:t>，</w:t>
      </w:r>
      <w:r>
        <w:rPr>
          <w:rFonts w:hAnsi="宋体"/>
          <w:sz w:val="24"/>
          <w:szCs w:val="28"/>
        </w:rPr>
        <w:t>强化管理，落实责任，突出环境风险意识；</w:t>
      </w:r>
    </w:p>
    <w:p>
      <w:pPr>
        <w:spacing w:line="440" w:lineRule="exact"/>
        <w:ind w:firstLine="480" w:firstLineChars="200"/>
        <w:rPr>
          <w:sz w:val="24"/>
          <w:szCs w:val="28"/>
        </w:rPr>
      </w:pPr>
      <w:r>
        <w:rPr>
          <w:rFonts w:hAnsi="宋体"/>
          <w:bCs/>
          <w:sz w:val="24"/>
        </w:rPr>
        <w:t>（</w:t>
      </w:r>
      <w:r>
        <w:rPr>
          <w:bCs/>
          <w:sz w:val="24"/>
        </w:rPr>
        <w:t>4</w:t>
      </w:r>
      <w:r>
        <w:rPr>
          <w:rFonts w:hAnsi="宋体"/>
          <w:bCs/>
          <w:sz w:val="24"/>
        </w:rPr>
        <w:t>）</w:t>
      </w:r>
      <w:r>
        <w:rPr>
          <w:rFonts w:hAnsi="宋体"/>
          <w:sz w:val="24"/>
          <w:szCs w:val="28"/>
        </w:rPr>
        <w:t>强化环保和安全生产教育。所有职工必须具备安全环保生产基本知识，必须接受安全环保生产知识教育和安全知识培训，学习安全防护的基本知识和注意事项、</w:t>
      </w:r>
      <w:r>
        <w:rPr>
          <w:rFonts w:hint="eastAsia" w:hAnsi="宋体"/>
          <w:sz w:val="24"/>
          <w:szCs w:val="28"/>
        </w:rPr>
        <w:t>所涉化学品相关</w:t>
      </w:r>
      <w:r>
        <w:rPr>
          <w:rFonts w:hAnsi="宋体"/>
          <w:sz w:val="24"/>
          <w:szCs w:val="28"/>
        </w:rPr>
        <w:t>知识、个人防护用品使用知识等；</w:t>
      </w:r>
    </w:p>
    <w:p>
      <w:pPr>
        <w:spacing w:line="440" w:lineRule="exact"/>
        <w:ind w:firstLine="480" w:firstLineChars="200"/>
        <w:rPr>
          <w:sz w:val="24"/>
        </w:rPr>
      </w:pPr>
      <w:r>
        <w:rPr>
          <w:rFonts w:hAnsi="宋体"/>
          <w:bCs/>
          <w:sz w:val="24"/>
        </w:rPr>
        <w:t>（</w:t>
      </w:r>
      <w:r>
        <w:rPr>
          <w:bCs/>
          <w:sz w:val="24"/>
        </w:rPr>
        <w:t>5</w:t>
      </w:r>
      <w:r>
        <w:rPr>
          <w:rFonts w:hAnsi="宋体"/>
          <w:bCs/>
          <w:sz w:val="24"/>
        </w:rPr>
        <w:t>）</w:t>
      </w:r>
      <w:r>
        <w:rPr>
          <w:rFonts w:hAnsi="宋体"/>
          <w:sz w:val="24"/>
        </w:rPr>
        <w:t>建立健全日常巡回检查、专项检查、定期检查、领导监督检查制度和安全环保检查制度，按照规定的时间、指定的路线进行巡回检查，每月组织检查一次</w:t>
      </w:r>
      <w:r>
        <w:rPr>
          <w:rFonts w:hAnsi="宋体"/>
          <w:color w:val="000000" w:themeColor="text1"/>
          <w:sz w:val="24"/>
          <w14:textFill>
            <w14:solidFill>
              <w14:schemeClr w14:val="tx1"/>
            </w14:solidFill>
          </w14:textFill>
        </w:rPr>
        <w:t>，</w:t>
      </w:r>
      <w:r>
        <w:rPr>
          <w:rFonts w:hint="eastAsia" w:hAnsi="宋体"/>
          <w:color w:val="000000" w:themeColor="text1"/>
          <w:sz w:val="24"/>
          <w14:textFill>
            <w14:solidFill>
              <w14:schemeClr w14:val="tx1"/>
            </w14:solidFill>
          </w14:textFill>
        </w:rPr>
        <w:t>各车间</w:t>
      </w:r>
      <w:r>
        <w:rPr>
          <w:rFonts w:hAnsi="宋体"/>
          <w:color w:val="000000" w:themeColor="text1"/>
          <w:sz w:val="24"/>
          <w14:textFill>
            <w14:solidFill>
              <w14:schemeClr w14:val="tx1"/>
            </w14:solidFill>
          </w14:textFill>
        </w:rPr>
        <w:t>每周检查一次，</w:t>
      </w:r>
      <w:r>
        <w:rPr>
          <w:rFonts w:hAnsi="宋体"/>
          <w:sz w:val="24"/>
        </w:rPr>
        <w:t>要以自查为主，互查为辅，以查思想、查制度、查记录、查隐患为主要内容，确保风险排查规范化、制度化、程序化，做到发现问题和隐患后立即进行整改；</w:t>
      </w:r>
    </w:p>
    <w:p>
      <w:pPr>
        <w:pStyle w:val="17"/>
        <w:spacing w:line="440" w:lineRule="exact"/>
        <w:ind w:firstLine="480"/>
        <w:rPr>
          <w:rFonts w:ascii="Times New Roman" w:hAnsi="Times New Roman"/>
          <w:sz w:val="24"/>
          <w:szCs w:val="28"/>
        </w:rPr>
      </w:pPr>
      <w:r>
        <w:rPr>
          <w:rFonts w:ascii="Times New Roman" w:hAnsi="宋体"/>
          <w:sz w:val="24"/>
          <w:szCs w:val="28"/>
        </w:rPr>
        <w:t>（</w:t>
      </w:r>
      <w:r>
        <w:rPr>
          <w:rFonts w:ascii="Times New Roman" w:hAnsi="Times New Roman"/>
          <w:sz w:val="24"/>
          <w:szCs w:val="28"/>
        </w:rPr>
        <w:t>6</w:t>
      </w:r>
      <w:r>
        <w:rPr>
          <w:rFonts w:ascii="Times New Roman" w:hAnsi="宋体"/>
          <w:sz w:val="24"/>
          <w:szCs w:val="28"/>
        </w:rPr>
        <w:t>）按计划和制度开展环境保护宣传教育和培训，每年至少进行一次组合演练或单项演练，两年进行一次全面演练；</w:t>
      </w:r>
    </w:p>
    <w:p>
      <w:pPr>
        <w:adjustRightInd w:val="0"/>
        <w:snapToGrid w:val="0"/>
        <w:spacing w:line="440" w:lineRule="exact"/>
        <w:ind w:firstLine="480" w:firstLineChars="200"/>
        <w:rPr>
          <w:sz w:val="24"/>
          <w:szCs w:val="28"/>
          <w:lang w:val="zh-CN"/>
        </w:rPr>
      </w:pPr>
      <w:r>
        <w:rPr>
          <w:rFonts w:hAnsi="宋体"/>
          <w:sz w:val="24"/>
          <w:szCs w:val="28"/>
        </w:rPr>
        <w:t>（</w:t>
      </w:r>
      <w:r>
        <w:rPr>
          <w:sz w:val="24"/>
          <w:szCs w:val="28"/>
        </w:rPr>
        <w:t>7</w:t>
      </w:r>
      <w:r>
        <w:rPr>
          <w:rFonts w:hAnsi="宋体"/>
          <w:sz w:val="24"/>
          <w:szCs w:val="28"/>
        </w:rPr>
        <w:t>）</w:t>
      </w:r>
      <w:r>
        <w:rPr>
          <w:rFonts w:hAnsi="宋体"/>
          <w:sz w:val="24"/>
          <w:szCs w:val="28"/>
          <w:lang w:val="zh-CN"/>
        </w:rPr>
        <w:t>按设计规范要求配备消防、环保、监控等安全环保设备和设施，并加强维护保养，确保设备设施完好有效；</w:t>
      </w:r>
    </w:p>
    <w:p>
      <w:pPr>
        <w:adjustRightInd w:val="0"/>
        <w:snapToGrid w:val="0"/>
        <w:spacing w:line="440" w:lineRule="exact"/>
        <w:ind w:firstLine="480" w:firstLineChars="200"/>
        <w:rPr>
          <w:rFonts w:hAnsi="宋体"/>
          <w:sz w:val="24"/>
          <w:szCs w:val="28"/>
        </w:rPr>
      </w:pPr>
      <w:r>
        <w:rPr>
          <w:rFonts w:hAnsi="宋体"/>
          <w:sz w:val="24"/>
          <w:szCs w:val="28"/>
        </w:rPr>
        <w:t>（</w:t>
      </w:r>
      <w:r>
        <w:rPr>
          <w:sz w:val="24"/>
          <w:szCs w:val="28"/>
        </w:rPr>
        <w:t>8</w:t>
      </w:r>
      <w:r>
        <w:rPr>
          <w:rFonts w:hAnsi="宋体"/>
          <w:sz w:val="24"/>
          <w:szCs w:val="28"/>
        </w:rPr>
        <w:t>）</w:t>
      </w:r>
      <w:r>
        <w:rPr>
          <w:rFonts w:hint="eastAsia" w:hAnsi="宋体"/>
          <w:sz w:val="24"/>
          <w:szCs w:val="28"/>
        </w:rPr>
        <w:t>定期检查应急物资</w:t>
      </w:r>
      <w:r>
        <w:rPr>
          <w:rFonts w:hAnsi="宋体"/>
          <w:sz w:val="24"/>
          <w:szCs w:val="28"/>
        </w:rPr>
        <w:t>，一经发现不足</w:t>
      </w:r>
      <w:r>
        <w:rPr>
          <w:rFonts w:hint="eastAsia" w:hAnsi="宋体"/>
          <w:sz w:val="24"/>
          <w:szCs w:val="28"/>
        </w:rPr>
        <w:t>或过期</w:t>
      </w:r>
      <w:r>
        <w:rPr>
          <w:rFonts w:hAnsi="宋体"/>
          <w:sz w:val="24"/>
          <w:szCs w:val="28"/>
        </w:rPr>
        <w:t>，及时进行补充。</w:t>
      </w:r>
    </w:p>
    <w:p>
      <w:pPr>
        <w:adjustRightInd w:val="0"/>
        <w:snapToGrid w:val="0"/>
        <w:spacing w:line="440" w:lineRule="exact"/>
        <w:ind w:firstLine="480" w:firstLineChars="200"/>
        <w:rPr>
          <w:sz w:val="24"/>
          <w:szCs w:val="28"/>
        </w:rPr>
      </w:pPr>
    </w:p>
    <w:p>
      <w:pPr>
        <w:spacing w:before="60" w:after="60" w:line="500" w:lineRule="exact"/>
        <w:outlineLvl w:val="1"/>
        <w:rPr>
          <w:rFonts w:eastAsia="黑体"/>
          <w:b/>
          <w:snapToGrid w:val="0"/>
          <w:spacing w:val="4"/>
          <w:kern w:val="0"/>
          <w:sz w:val="28"/>
          <w:szCs w:val="30"/>
        </w:rPr>
      </w:pPr>
      <w:bookmarkStart w:id="139" w:name="_Toc336595421"/>
      <w:bookmarkStart w:id="140" w:name="_Toc10105679"/>
      <w:bookmarkStart w:id="141" w:name="_Toc336595900"/>
      <w:bookmarkStart w:id="142" w:name="_Toc336595785"/>
      <w:bookmarkStart w:id="143" w:name="_Toc484163995"/>
      <w:bookmarkStart w:id="144" w:name="_Toc336596943"/>
      <w:r>
        <w:rPr>
          <w:rFonts w:eastAsia="黑体"/>
          <w:b/>
          <w:snapToGrid w:val="0"/>
          <w:spacing w:val="4"/>
          <w:kern w:val="0"/>
          <w:sz w:val="28"/>
          <w:szCs w:val="30"/>
        </w:rPr>
        <w:t>5.2风险源监控与预警</w:t>
      </w:r>
      <w:bookmarkEnd w:id="139"/>
      <w:bookmarkEnd w:id="140"/>
      <w:bookmarkEnd w:id="141"/>
      <w:bookmarkEnd w:id="142"/>
      <w:bookmarkEnd w:id="143"/>
      <w:bookmarkEnd w:id="144"/>
    </w:p>
    <w:p>
      <w:pPr>
        <w:spacing w:line="440" w:lineRule="exact"/>
        <w:ind w:firstLine="480" w:firstLineChars="200"/>
        <w:rPr>
          <w:rFonts w:hAnsi="宋体"/>
          <w:bCs/>
          <w:sz w:val="24"/>
        </w:rPr>
      </w:pPr>
      <w:r>
        <w:rPr>
          <w:rFonts w:hAnsi="宋体"/>
          <w:bCs/>
          <w:sz w:val="24"/>
        </w:rPr>
        <w:t>为了及时掌握风险源的情况，对危险事故做到早发现早处理，降低或避免危险事故造成的危害，必须建立健全风险源监控体系，监控内容主要包括监控对象、监控部位、监控方式、监控时间以及监控频率；监控人员落实到位，监控设施齐全，并且落实到位。</w:t>
      </w:r>
    </w:p>
    <w:p>
      <w:pPr>
        <w:spacing w:line="440" w:lineRule="exact"/>
        <w:jc w:val="center"/>
        <w:rPr>
          <w:rFonts w:hAnsi="宋体"/>
          <w:b/>
          <w:bCs/>
          <w:color w:val="000000" w:themeColor="text1"/>
          <w14:textFill>
            <w14:solidFill>
              <w14:schemeClr w14:val="tx1"/>
            </w14:solidFill>
          </w14:textFill>
        </w:rPr>
      </w:pPr>
      <w:r>
        <w:rPr>
          <w:rFonts w:hint="eastAsia" w:hAnsi="宋体"/>
          <w:b/>
          <w:bCs/>
          <w:color w:val="000000" w:themeColor="text1"/>
          <w14:textFill>
            <w14:solidFill>
              <w14:schemeClr w14:val="tx1"/>
            </w14:solidFill>
          </w14:textFill>
        </w:rPr>
        <w:t>表5.2-1  风险源监控与预警措施一览表</w:t>
      </w:r>
    </w:p>
    <w:tbl>
      <w:tblPr>
        <w:tblStyle w:val="31"/>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5"/>
        <w:gridCol w:w="1202"/>
        <w:gridCol w:w="1632"/>
        <w:gridCol w:w="1557"/>
        <w:gridCol w:w="1136"/>
        <w:gridCol w:w="1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85" w:type="dxa"/>
            <w:vAlign w:val="center"/>
          </w:tcPr>
          <w:p>
            <w:pPr>
              <w:adjustRightInd w:val="0"/>
              <w:snapToGrid w:val="0"/>
              <w:spacing w:line="320" w:lineRule="exact"/>
              <w:jc w:val="center"/>
              <w:rPr>
                <w:b/>
                <w:snapToGrid w:val="0"/>
                <w:color w:val="000000" w:themeColor="text1"/>
                <w:szCs w:val="21"/>
                <w14:textFill>
                  <w14:solidFill>
                    <w14:schemeClr w14:val="tx1"/>
                  </w14:solidFill>
                </w14:textFill>
              </w:rPr>
            </w:pPr>
            <w:r>
              <w:rPr>
                <w:rFonts w:hint="eastAsia"/>
                <w:b/>
                <w:snapToGrid w:val="0"/>
                <w:color w:val="000000" w:themeColor="text1"/>
                <w:szCs w:val="21"/>
                <w14:textFill>
                  <w14:solidFill>
                    <w14:schemeClr w14:val="tx1"/>
                  </w14:solidFill>
                </w14:textFill>
              </w:rPr>
              <w:t>监控位置</w:t>
            </w:r>
          </w:p>
        </w:tc>
        <w:tc>
          <w:tcPr>
            <w:tcW w:w="1202" w:type="dxa"/>
            <w:vAlign w:val="center"/>
          </w:tcPr>
          <w:p>
            <w:pPr>
              <w:adjustRightInd w:val="0"/>
              <w:snapToGrid w:val="0"/>
              <w:spacing w:line="320" w:lineRule="exact"/>
              <w:jc w:val="center"/>
              <w:rPr>
                <w:b/>
                <w:snapToGrid w:val="0"/>
                <w:color w:val="000000" w:themeColor="text1"/>
                <w:szCs w:val="21"/>
                <w14:textFill>
                  <w14:solidFill>
                    <w14:schemeClr w14:val="tx1"/>
                  </w14:solidFill>
                </w14:textFill>
              </w:rPr>
            </w:pPr>
            <w:r>
              <w:rPr>
                <w:b/>
                <w:snapToGrid w:val="0"/>
                <w:color w:val="000000" w:themeColor="text1"/>
                <w:szCs w:val="21"/>
                <w14:textFill>
                  <w14:solidFill>
                    <w14:schemeClr w14:val="tx1"/>
                  </w14:solidFill>
                </w14:textFill>
              </w:rPr>
              <w:t>监控项目</w:t>
            </w:r>
          </w:p>
        </w:tc>
        <w:tc>
          <w:tcPr>
            <w:tcW w:w="1632" w:type="dxa"/>
            <w:vAlign w:val="center"/>
          </w:tcPr>
          <w:p>
            <w:pPr>
              <w:adjustRightInd w:val="0"/>
              <w:snapToGrid w:val="0"/>
              <w:spacing w:line="320" w:lineRule="exact"/>
              <w:jc w:val="center"/>
              <w:rPr>
                <w:b/>
                <w:snapToGrid w:val="0"/>
                <w:color w:val="000000" w:themeColor="text1"/>
                <w:szCs w:val="21"/>
                <w14:textFill>
                  <w14:solidFill>
                    <w14:schemeClr w14:val="tx1"/>
                  </w14:solidFill>
                </w14:textFill>
              </w:rPr>
            </w:pPr>
            <w:r>
              <w:rPr>
                <w:b/>
                <w:snapToGrid w:val="0"/>
                <w:color w:val="000000" w:themeColor="text1"/>
                <w:szCs w:val="21"/>
                <w14:textFill>
                  <w14:solidFill>
                    <w14:schemeClr w14:val="tx1"/>
                  </w14:solidFill>
                </w14:textFill>
              </w:rPr>
              <w:t>监控方式</w:t>
            </w:r>
          </w:p>
        </w:tc>
        <w:tc>
          <w:tcPr>
            <w:tcW w:w="1557" w:type="dxa"/>
            <w:vAlign w:val="center"/>
          </w:tcPr>
          <w:p>
            <w:pPr>
              <w:adjustRightInd w:val="0"/>
              <w:snapToGrid w:val="0"/>
              <w:spacing w:line="320" w:lineRule="exact"/>
              <w:jc w:val="center"/>
              <w:rPr>
                <w:b/>
                <w:snapToGrid w:val="0"/>
                <w:color w:val="000000" w:themeColor="text1"/>
                <w:szCs w:val="21"/>
                <w14:textFill>
                  <w14:solidFill>
                    <w14:schemeClr w14:val="tx1"/>
                  </w14:solidFill>
                </w14:textFill>
              </w:rPr>
            </w:pPr>
            <w:r>
              <w:rPr>
                <w:rFonts w:hint="eastAsia"/>
                <w:b/>
                <w:snapToGrid w:val="0"/>
                <w:color w:val="000000" w:themeColor="text1"/>
                <w:szCs w:val="21"/>
                <w14:textFill>
                  <w14:solidFill>
                    <w14:schemeClr w14:val="tx1"/>
                  </w14:solidFill>
                </w14:textFill>
              </w:rPr>
              <w:t>监控频次</w:t>
            </w:r>
          </w:p>
        </w:tc>
        <w:tc>
          <w:tcPr>
            <w:tcW w:w="1136" w:type="dxa"/>
            <w:vAlign w:val="center"/>
          </w:tcPr>
          <w:p>
            <w:pPr>
              <w:adjustRightInd w:val="0"/>
              <w:snapToGrid w:val="0"/>
              <w:spacing w:line="320" w:lineRule="exact"/>
              <w:jc w:val="center"/>
              <w:rPr>
                <w:b/>
                <w:snapToGrid w:val="0"/>
                <w:color w:val="000000" w:themeColor="text1"/>
                <w:szCs w:val="21"/>
                <w14:textFill>
                  <w14:solidFill>
                    <w14:schemeClr w14:val="tx1"/>
                  </w14:solidFill>
                </w14:textFill>
              </w:rPr>
            </w:pPr>
            <w:r>
              <w:rPr>
                <w:rFonts w:hint="eastAsia"/>
                <w:b/>
                <w:snapToGrid w:val="0"/>
                <w:color w:val="000000" w:themeColor="text1"/>
                <w:szCs w:val="21"/>
                <w14:textFill>
                  <w14:solidFill>
                    <w14:schemeClr w14:val="tx1"/>
                  </w14:solidFill>
                </w14:textFill>
              </w:rPr>
              <w:t>负责人</w:t>
            </w:r>
          </w:p>
        </w:tc>
        <w:tc>
          <w:tcPr>
            <w:tcW w:w="1610" w:type="dxa"/>
            <w:vAlign w:val="center"/>
          </w:tcPr>
          <w:p>
            <w:pPr>
              <w:adjustRightInd w:val="0"/>
              <w:snapToGrid w:val="0"/>
              <w:spacing w:line="320" w:lineRule="exact"/>
              <w:jc w:val="center"/>
              <w:rPr>
                <w:b/>
                <w:snapToGrid w:val="0"/>
                <w:color w:val="000000" w:themeColor="text1"/>
                <w:szCs w:val="21"/>
                <w14:textFill>
                  <w14:solidFill>
                    <w14:schemeClr w14:val="tx1"/>
                  </w14:solidFill>
                </w14:textFill>
              </w:rPr>
            </w:pPr>
            <w:r>
              <w:rPr>
                <w:rFonts w:hint="eastAsia"/>
                <w:b/>
                <w:snapToGrid w:val="0"/>
                <w:color w:val="000000" w:themeColor="text1"/>
                <w:szCs w:val="21"/>
                <w14:textFill>
                  <w14:solidFill>
                    <w14:schemeClr w14:val="tx1"/>
                  </w14:solidFill>
                </w14:textFill>
              </w:rPr>
              <w:t>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85" w:type="dxa"/>
            <w:vAlign w:val="center"/>
          </w:tcPr>
          <w:p>
            <w:pPr>
              <w:topLinePunct/>
              <w:adjustRightInd w:val="0"/>
              <w:snapToGrid w:val="0"/>
              <w:spacing w:line="320" w:lineRule="exact"/>
              <w:jc w:val="center"/>
              <w:rPr>
                <w:snapToGrid w:val="0"/>
                <w:color w:val="000000" w:themeColor="text1"/>
                <w:kern w:val="0"/>
                <w:szCs w:val="21"/>
                <w14:textFill>
                  <w14:solidFill>
                    <w14:schemeClr w14:val="tx1"/>
                  </w14:solidFill>
                </w14:textFill>
              </w:rPr>
            </w:pPr>
            <w:r>
              <w:rPr>
                <w:rFonts w:hint="eastAsia"/>
                <w:snapToGrid w:val="0"/>
                <w:color w:val="000000" w:themeColor="text1"/>
                <w:kern w:val="0"/>
                <w:szCs w:val="21"/>
                <w14:textFill>
                  <w14:solidFill>
                    <w14:schemeClr w14:val="tx1"/>
                  </w14:solidFill>
                </w14:textFill>
              </w:rPr>
              <w:t>储罐区</w:t>
            </w:r>
          </w:p>
        </w:tc>
        <w:tc>
          <w:tcPr>
            <w:tcW w:w="1202" w:type="dxa"/>
            <w:vAlign w:val="center"/>
          </w:tcPr>
          <w:p>
            <w:pPr>
              <w:adjustRightInd w:val="0"/>
              <w:snapToGrid w:val="0"/>
              <w:spacing w:line="320" w:lineRule="exact"/>
              <w:jc w:val="center"/>
              <w:rPr>
                <w:snapToGrid w:val="0"/>
                <w:color w:val="000000" w:themeColor="text1"/>
                <w:szCs w:val="21"/>
                <w14:textFill>
                  <w14:solidFill>
                    <w14:schemeClr w14:val="tx1"/>
                  </w14:solidFill>
                </w14:textFill>
              </w:rPr>
            </w:pPr>
            <w:r>
              <w:rPr>
                <w:rFonts w:hint="eastAsia"/>
                <w:snapToGrid w:val="0"/>
                <w:color w:val="000000" w:themeColor="text1"/>
                <w:szCs w:val="21"/>
                <w14:textFill>
                  <w14:solidFill>
                    <w14:schemeClr w14:val="tx1"/>
                  </w14:solidFill>
                </w14:textFill>
              </w:rPr>
              <w:t>储存环节</w:t>
            </w:r>
          </w:p>
        </w:tc>
        <w:tc>
          <w:tcPr>
            <w:tcW w:w="1632" w:type="dxa"/>
            <w:vAlign w:val="center"/>
          </w:tcPr>
          <w:p>
            <w:pPr>
              <w:adjustRightInd w:val="0"/>
              <w:snapToGrid w:val="0"/>
              <w:spacing w:line="320" w:lineRule="exact"/>
              <w:jc w:val="center"/>
              <w:rPr>
                <w:snapToGrid w:val="0"/>
                <w:color w:val="000000" w:themeColor="text1"/>
                <w:szCs w:val="21"/>
                <w14:textFill>
                  <w14:solidFill>
                    <w14:schemeClr w14:val="tx1"/>
                  </w14:solidFill>
                </w14:textFill>
              </w:rPr>
            </w:pPr>
            <w:r>
              <w:rPr>
                <w:rFonts w:hint="eastAsia"/>
                <w:snapToGrid w:val="0"/>
                <w:color w:val="000000" w:themeColor="text1"/>
                <w:szCs w:val="21"/>
                <w14:textFill>
                  <w14:solidFill>
                    <w14:schemeClr w14:val="tx1"/>
                  </w14:solidFill>
                </w14:textFill>
              </w:rPr>
              <w:t>定期巡查</w:t>
            </w:r>
          </w:p>
        </w:tc>
        <w:tc>
          <w:tcPr>
            <w:tcW w:w="1557" w:type="dxa"/>
            <w:vAlign w:val="center"/>
          </w:tcPr>
          <w:p>
            <w:pPr>
              <w:adjustRightInd w:val="0"/>
              <w:snapToGrid w:val="0"/>
              <w:spacing w:line="320" w:lineRule="exact"/>
              <w:jc w:val="center"/>
              <w:rPr>
                <w:snapToGrid w:val="0"/>
                <w:color w:val="000000" w:themeColor="text1"/>
                <w:szCs w:val="21"/>
                <w14:textFill>
                  <w14:solidFill>
                    <w14:schemeClr w14:val="tx1"/>
                  </w14:solidFill>
                </w14:textFill>
              </w:rPr>
            </w:pPr>
            <w:r>
              <w:rPr>
                <w:rFonts w:hint="eastAsia"/>
                <w:snapToGrid w:val="0"/>
                <w:color w:val="000000" w:themeColor="text1"/>
                <w:szCs w:val="21"/>
                <w14:textFill>
                  <w14:solidFill>
                    <w14:schemeClr w14:val="tx1"/>
                  </w14:solidFill>
                </w14:textFill>
              </w:rPr>
              <w:t>24h巡查一次</w:t>
            </w:r>
          </w:p>
        </w:tc>
        <w:tc>
          <w:tcPr>
            <w:tcW w:w="1136" w:type="dxa"/>
            <w:vAlign w:val="center"/>
          </w:tcPr>
          <w:p>
            <w:pPr>
              <w:spacing w:line="320" w:lineRule="exact"/>
              <w:jc w:val="center"/>
              <w:rPr>
                <w:snapToGrid w:val="0"/>
                <w:color w:val="000000" w:themeColor="text1"/>
                <w:szCs w:val="21"/>
                <w:highlight w:val="yellow"/>
                <w14:textFill>
                  <w14:solidFill>
                    <w14:schemeClr w14:val="tx1"/>
                  </w14:solidFill>
                </w14:textFill>
              </w:rPr>
            </w:pPr>
            <w:r>
              <w:rPr>
                <w:rFonts w:hint="eastAsia"/>
                <w:color w:val="FF0000"/>
                <w:sz w:val="21"/>
                <w:szCs w:val="21"/>
                <w:highlight w:val="none"/>
              </w:rPr>
              <w:t>熊海媛</w:t>
            </w:r>
          </w:p>
        </w:tc>
        <w:tc>
          <w:tcPr>
            <w:tcW w:w="1610" w:type="dxa"/>
            <w:vAlign w:val="center"/>
          </w:tcPr>
          <w:p>
            <w:pPr>
              <w:spacing w:line="320" w:lineRule="exact"/>
              <w:jc w:val="center"/>
              <w:rPr>
                <w:color w:val="000000" w:themeColor="text1"/>
                <w:highlight w:val="yellow"/>
                <w14:textFill>
                  <w14:solidFill>
                    <w14:schemeClr w14:val="tx1"/>
                  </w14:solidFill>
                </w14:textFill>
              </w:rPr>
            </w:pPr>
            <w:r>
              <w:rPr>
                <w:rFonts w:hint="eastAsia"/>
                <w:color w:val="FF0000"/>
                <w:sz w:val="21"/>
                <w:szCs w:val="21"/>
                <w:highlight w:val="none"/>
              </w:rPr>
              <w:t>18270832518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85" w:type="dxa"/>
            <w:vAlign w:val="center"/>
          </w:tcPr>
          <w:p>
            <w:pPr>
              <w:topLinePunct/>
              <w:adjustRightInd w:val="0"/>
              <w:snapToGrid w:val="0"/>
              <w:spacing w:line="320" w:lineRule="exact"/>
              <w:jc w:val="center"/>
              <w:rPr>
                <w:snapToGrid w:val="0"/>
                <w:color w:val="000000" w:themeColor="text1"/>
                <w:kern w:val="0"/>
                <w:szCs w:val="21"/>
                <w14:textFill>
                  <w14:solidFill>
                    <w14:schemeClr w14:val="tx1"/>
                  </w14:solidFill>
                </w14:textFill>
              </w:rPr>
            </w:pPr>
            <w:r>
              <w:rPr>
                <w:rFonts w:hint="eastAsia"/>
                <w:snapToGrid w:val="0"/>
                <w:color w:val="000000" w:themeColor="text1"/>
                <w:kern w:val="0"/>
                <w:szCs w:val="21"/>
                <w14:textFill>
                  <w14:solidFill>
                    <w14:schemeClr w14:val="tx1"/>
                  </w14:solidFill>
                </w14:textFill>
              </w:rPr>
              <w:t>加油区</w:t>
            </w:r>
          </w:p>
        </w:tc>
        <w:tc>
          <w:tcPr>
            <w:tcW w:w="1202" w:type="dxa"/>
            <w:vAlign w:val="center"/>
          </w:tcPr>
          <w:p>
            <w:pPr>
              <w:adjustRightInd w:val="0"/>
              <w:snapToGrid w:val="0"/>
              <w:spacing w:line="320" w:lineRule="exact"/>
              <w:jc w:val="center"/>
              <w:rPr>
                <w:snapToGrid w:val="0"/>
                <w:color w:val="000000" w:themeColor="text1"/>
                <w:szCs w:val="21"/>
                <w14:textFill>
                  <w14:solidFill>
                    <w14:schemeClr w14:val="tx1"/>
                  </w14:solidFill>
                </w14:textFill>
              </w:rPr>
            </w:pPr>
            <w:r>
              <w:rPr>
                <w:rFonts w:hint="eastAsia" w:hAnsi="宋体"/>
                <w:snapToGrid w:val="0"/>
                <w:color w:val="000000"/>
                <w:kern w:val="0"/>
                <w:szCs w:val="21"/>
              </w:rPr>
              <w:t>汽油</w:t>
            </w:r>
          </w:p>
        </w:tc>
        <w:tc>
          <w:tcPr>
            <w:tcW w:w="1632" w:type="dxa"/>
            <w:vAlign w:val="center"/>
          </w:tcPr>
          <w:p>
            <w:pPr>
              <w:adjustRightInd w:val="0"/>
              <w:snapToGrid w:val="0"/>
              <w:spacing w:line="320" w:lineRule="exact"/>
              <w:jc w:val="center"/>
              <w:rPr>
                <w:snapToGrid w:val="0"/>
                <w:color w:val="000000" w:themeColor="text1"/>
                <w:szCs w:val="21"/>
                <w14:textFill>
                  <w14:solidFill>
                    <w14:schemeClr w14:val="tx1"/>
                  </w14:solidFill>
                </w14:textFill>
              </w:rPr>
            </w:pPr>
            <w:r>
              <w:rPr>
                <w:rFonts w:hint="eastAsia"/>
                <w:snapToGrid w:val="0"/>
                <w:color w:val="000000" w:themeColor="text1"/>
                <w:szCs w:val="21"/>
                <w14:textFill>
                  <w14:solidFill>
                    <w14:schemeClr w14:val="tx1"/>
                  </w14:solidFill>
                </w14:textFill>
              </w:rPr>
              <w:t>定期巡查</w:t>
            </w:r>
          </w:p>
        </w:tc>
        <w:tc>
          <w:tcPr>
            <w:tcW w:w="1557" w:type="dxa"/>
            <w:vAlign w:val="center"/>
          </w:tcPr>
          <w:p>
            <w:pPr>
              <w:adjustRightInd w:val="0"/>
              <w:snapToGrid w:val="0"/>
              <w:spacing w:line="320" w:lineRule="exact"/>
              <w:jc w:val="center"/>
              <w:rPr>
                <w:snapToGrid w:val="0"/>
                <w:color w:val="000000" w:themeColor="text1"/>
                <w:szCs w:val="21"/>
                <w14:textFill>
                  <w14:solidFill>
                    <w14:schemeClr w14:val="tx1"/>
                  </w14:solidFill>
                </w14:textFill>
              </w:rPr>
            </w:pPr>
            <w:r>
              <w:rPr>
                <w:rFonts w:hint="eastAsia"/>
                <w:snapToGrid w:val="0"/>
                <w:color w:val="000000" w:themeColor="text1"/>
                <w:szCs w:val="21"/>
                <w14:textFill>
                  <w14:solidFill>
                    <w14:schemeClr w14:val="tx1"/>
                  </w14:solidFill>
                </w14:textFill>
              </w:rPr>
              <w:t>24h巡查一次</w:t>
            </w:r>
          </w:p>
        </w:tc>
        <w:tc>
          <w:tcPr>
            <w:tcW w:w="1136" w:type="dxa"/>
            <w:vAlign w:val="center"/>
          </w:tcPr>
          <w:p>
            <w:pPr>
              <w:spacing w:line="320" w:lineRule="exact"/>
              <w:jc w:val="center"/>
              <w:rPr>
                <w:rFonts w:hAnsi="宋体"/>
                <w:color w:val="000000" w:themeColor="text1"/>
                <w:kern w:val="0"/>
                <w:szCs w:val="21"/>
                <w:highlight w:val="yellow"/>
                <w14:textFill>
                  <w14:solidFill>
                    <w14:schemeClr w14:val="tx1"/>
                  </w14:solidFill>
                </w14:textFill>
              </w:rPr>
            </w:pPr>
            <w:r>
              <w:rPr>
                <w:rFonts w:hint="eastAsia"/>
                <w:color w:val="FF0000"/>
                <w:sz w:val="21"/>
                <w:szCs w:val="21"/>
                <w:highlight w:val="none"/>
              </w:rPr>
              <w:t>熊海媛</w:t>
            </w:r>
          </w:p>
        </w:tc>
        <w:tc>
          <w:tcPr>
            <w:tcW w:w="1610" w:type="dxa"/>
            <w:vAlign w:val="center"/>
          </w:tcPr>
          <w:p>
            <w:pPr>
              <w:spacing w:line="320" w:lineRule="exact"/>
              <w:jc w:val="center"/>
              <w:rPr>
                <w:color w:val="000000" w:themeColor="text1"/>
                <w:highlight w:val="yellow"/>
                <w14:textFill>
                  <w14:solidFill>
                    <w14:schemeClr w14:val="tx1"/>
                  </w14:solidFill>
                </w14:textFill>
              </w:rPr>
            </w:pPr>
            <w:r>
              <w:rPr>
                <w:rFonts w:hint="eastAsia"/>
                <w:color w:val="FF0000"/>
                <w:sz w:val="21"/>
                <w:szCs w:val="21"/>
                <w:highlight w:val="none"/>
              </w:rPr>
              <w:t>18270832518</w:t>
            </w:r>
          </w:p>
        </w:tc>
      </w:tr>
    </w:tbl>
    <w:p>
      <w:pPr>
        <w:spacing w:line="440" w:lineRule="exact"/>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当确认突发事件发生征兆时，第一时间</w:t>
      </w:r>
      <w:r>
        <w:rPr>
          <w:rFonts w:hint="eastAsia"/>
          <w:color w:val="000000" w:themeColor="text1"/>
          <w:sz w:val="24"/>
          <w14:textFill>
            <w14:solidFill>
              <w14:schemeClr w14:val="tx1"/>
            </w14:solidFill>
          </w14:textFill>
        </w:rPr>
        <w:t>（10分钟内）</w:t>
      </w:r>
      <w:r>
        <w:rPr>
          <w:color w:val="000000" w:themeColor="text1"/>
          <w:sz w:val="24"/>
          <w14:textFill>
            <w14:solidFill>
              <w14:schemeClr w14:val="tx1"/>
            </w14:solidFill>
          </w14:textFill>
        </w:rPr>
        <w:t>上报</w:t>
      </w:r>
      <w:r>
        <w:rPr>
          <w:rFonts w:hint="eastAsia"/>
          <w:color w:val="FF0000"/>
          <w:sz w:val="24"/>
        </w:rPr>
        <w:t>设备管理员</w:t>
      </w:r>
      <w:r>
        <w:rPr>
          <w:color w:val="000000" w:themeColor="text1"/>
          <w:sz w:val="24"/>
          <w14:textFill>
            <w14:solidFill>
              <w14:schemeClr w14:val="tx1"/>
            </w14:solidFill>
          </w14:textFill>
        </w:rPr>
        <w:t>，</w:t>
      </w:r>
      <w:r>
        <w:rPr>
          <w:rFonts w:hint="eastAsia"/>
          <w:color w:val="FF0000"/>
          <w:sz w:val="24"/>
        </w:rPr>
        <w:t>设备管理员</w:t>
      </w:r>
      <w:r>
        <w:rPr>
          <w:color w:val="000000" w:themeColor="text1"/>
          <w:sz w:val="24"/>
          <w14:textFill>
            <w14:solidFill>
              <w14:schemeClr w14:val="tx1"/>
            </w14:solidFill>
          </w14:textFill>
        </w:rPr>
        <w:t>立即</w:t>
      </w:r>
      <w:r>
        <w:rPr>
          <w:rFonts w:hint="eastAsia"/>
          <w:color w:val="000000" w:themeColor="text1"/>
          <w:sz w:val="24"/>
          <w14:textFill>
            <w14:solidFill>
              <w14:schemeClr w14:val="tx1"/>
            </w14:solidFill>
          </w14:textFill>
        </w:rPr>
        <w:t>（10分钟内）</w:t>
      </w:r>
      <w:r>
        <w:rPr>
          <w:color w:val="000000" w:themeColor="text1"/>
          <w:sz w:val="24"/>
          <w14:textFill>
            <w14:solidFill>
              <w14:schemeClr w14:val="tx1"/>
            </w14:solidFill>
          </w14:textFill>
        </w:rPr>
        <w:t>了解确认事件相关情况，向应急指挥部汇报，指挥部总指挥根据可能发生事件的严重程度发布相应预警。</w:t>
      </w:r>
    </w:p>
    <w:p>
      <w:pPr>
        <w:spacing w:before="60" w:after="60" w:line="500" w:lineRule="exact"/>
        <w:outlineLvl w:val="1"/>
        <w:rPr>
          <w:rFonts w:eastAsia="黑体"/>
          <w:b/>
          <w:snapToGrid w:val="0"/>
          <w:spacing w:val="4"/>
          <w:kern w:val="0"/>
          <w:sz w:val="28"/>
          <w:szCs w:val="30"/>
        </w:rPr>
      </w:pPr>
      <w:bookmarkStart w:id="145" w:name="_Toc484163996"/>
      <w:bookmarkStart w:id="146" w:name="_Toc10105680"/>
      <w:bookmarkStart w:id="147" w:name="_Toc336595901"/>
      <w:bookmarkStart w:id="148" w:name="_Toc336595786"/>
      <w:bookmarkStart w:id="149" w:name="_Toc336596944"/>
      <w:bookmarkStart w:id="150" w:name="_Toc336595422"/>
      <w:r>
        <w:rPr>
          <w:rFonts w:eastAsia="黑体"/>
          <w:b/>
          <w:snapToGrid w:val="0"/>
          <w:spacing w:val="4"/>
          <w:kern w:val="0"/>
          <w:sz w:val="28"/>
          <w:szCs w:val="30"/>
        </w:rPr>
        <w:t>5.3预警及响应措施</w:t>
      </w:r>
      <w:bookmarkEnd w:id="145"/>
      <w:bookmarkEnd w:id="146"/>
      <w:bookmarkEnd w:id="147"/>
      <w:bookmarkEnd w:id="148"/>
      <w:bookmarkEnd w:id="149"/>
      <w:bookmarkEnd w:id="150"/>
    </w:p>
    <w:p>
      <w:pPr>
        <w:spacing w:line="440" w:lineRule="exact"/>
        <w:outlineLvl w:val="2"/>
        <w:rPr>
          <w:rFonts w:eastAsia="黑体"/>
          <w:b/>
          <w:snapToGrid w:val="0"/>
          <w:spacing w:val="4"/>
          <w:kern w:val="0"/>
          <w:sz w:val="24"/>
          <w:szCs w:val="28"/>
        </w:rPr>
      </w:pPr>
      <w:bookmarkStart w:id="151" w:name="_Toc10105681"/>
      <w:bookmarkStart w:id="152" w:name="_Toc497226215"/>
      <w:bookmarkStart w:id="153" w:name="_Toc524953692"/>
      <w:bookmarkStart w:id="154" w:name="_Toc481763289"/>
      <w:bookmarkStart w:id="155" w:name="_Toc509302723"/>
      <w:bookmarkStart w:id="156" w:name="_Toc484267586"/>
      <w:bookmarkStart w:id="157" w:name="_Toc500487296"/>
      <w:r>
        <w:rPr>
          <w:rFonts w:eastAsia="黑体"/>
          <w:b/>
          <w:snapToGrid w:val="0"/>
          <w:spacing w:val="4"/>
          <w:kern w:val="0"/>
          <w:sz w:val="24"/>
          <w:szCs w:val="28"/>
        </w:rPr>
        <w:t>5.3.1 预警分级</w:t>
      </w:r>
      <w:bookmarkEnd w:id="151"/>
      <w:bookmarkEnd w:id="152"/>
      <w:bookmarkEnd w:id="153"/>
      <w:bookmarkEnd w:id="154"/>
      <w:bookmarkEnd w:id="155"/>
      <w:bookmarkEnd w:id="156"/>
      <w:bookmarkEnd w:id="157"/>
    </w:p>
    <w:p>
      <w:pPr>
        <w:spacing w:line="440" w:lineRule="exact"/>
        <w:ind w:firstLine="480" w:firstLineChars="200"/>
        <w:rPr>
          <w:bCs/>
          <w:sz w:val="24"/>
        </w:rPr>
      </w:pPr>
      <w:bookmarkStart w:id="158" w:name="_Toc484267587"/>
      <w:bookmarkStart w:id="159" w:name="_Toc497226216"/>
      <w:bookmarkStart w:id="160" w:name="_Toc484164000"/>
      <w:r>
        <w:rPr>
          <w:rFonts w:hint="eastAsia"/>
          <w:bCs/>
          <w:sz w:val="24"/>
        </w:rPr>
        <w:t>根据导致事故发生的原因与可能会发生的突发环境事件的趋势，对突发环境事件预警进行等级划分，突发环境事件的预警级别由低到高分为III级预警、II级预警和I级预警，分别用黄色、橙色、红色表示。根据事态的发展情况和采取措施的效果，预警可以升级、降级或解除。</w:t>
      </w:r>
    </w:p>
    <w:bookmarkEnd w:id="158"/>
    <w:bookmarkEnd w:id="159"/>
    <w:p>
      <w:pPr>
        <w:spacing w:line="440" w:lineRule="exact"/>
        <w:ind w:firstLine="480" w:firstLineChars="200"/>
        <w:rPr>
          <w:bCs/>
          <w:sz w:val="24"/>
        </w:rPr>
      </w:pPr>
      <w:bookmarkStart w:id="161" w:name="_Toc484267589"/>
      <w:bookmarkStart w:id="162" w:name="_Toc481763290"/>
      <w:bookmarkStart w:id="163" w:name="_Toc500401571"/>
      <w:bookmarkStart w:id="164" w:name="_Toc500487297"/>
      <w:bookmarkStart w:id="165" w:name="_Toc497226218"/>
      <w:bookmarkStart w:id="166" w:name="_Toc509302724"/>
      <w:r>
        <w:rPr>
          <w:rFonts w:hint="eastAsia"/>
          <w:bCs/>
          <w:sz w:val="24"/>
        </w:rPr>
        <w:t>（1）III级预警（黄色）</w:t>
      </w:r>
    </w:p>
    <w:p>
      <w:pPr>
        <w:spacing w:line="440" w:lineRule="exact"/>
        <w:ind w:firstLine="480" w:firstLineChars="200"/>
        <w:rPr>
          <w:bCs/>
          <w:sz w:val="24"/>
        </w:rPr>
      </w:pPr>
      <w:r>
        <w:rPr>
          <w:rFonts w:hint="eastAsia"/>
          <w:bCs/>
          <w:sz w:val="24"/>
        </w:rPr>
        <w:t>III级预警是指发现事故隐患，可能对环境造成一定程度的威胁，但威胁范围仅</w:t>
      </w:r>
      <w:r>
        <w:rPr>
          <w:rFonts w:hint="eastAsia"/>
          <w:bCs/>
          <w:color w:val="000000" w:themeColor="text1"/>
          <w:sz w:val="24"/>
          <w14:textFill>
            <w14:solidFill>
              <w14:schemeClr w14:val="tx1"/>
            </w14:solidFill>
          </w14:textFill>
        </w:rPr>
        <w:t>限车间或事</w:t>
      </w:r>
      <w:r>
        <w:rPr>
          <w:rFonts w:hint="eastAsia"/>
          <w:bCs/>
          <w:sz w:val="24"/>
        </w:rPr>
        <w:t>故点，未波及其他现场而做出的预警。</w:t>
      </w:r>
    </w:p>
    <w:p>
      <w:pPr>
        <w:spacing w:line="440" w:lineRule="exact"/>
        <w:ind w:firstLine="480" w:firstLineChars="200"/>
        <w:rPr>
          <w:bCs/>
          <w:sz w:val="24"/>
        </w:rPr>
      </w:pPr>
      <w:r>
        <w:rPr>
          <w:rFonts w:hint="eastAsia"/>
          <w:bCs/>
          <w:sz w:val="24"/>
        </w:rPr>
        <w:t>（2）II级预警（橙色）</w:t>
      </w:r>
    </w:p>
    <w:p>
      <w:pPr>
        <w:spacing w:line="440" w:lineRule="exact"/>
        <w:ind w:firstLine="480" w:firstLineChars="200"/>
        <w:rPr>
          <w:bCs/>
          <w:sz w:val="24"/>
        </w:rPr>
      </w:pPr>
      <w:r>
        <w:rPr>
          <w:rFonts w:hint="eastAsia"/>
          <w:bCs/>
          <w:sz w:val="24"/>
        </w:rPr>
        <w:t>II级预警是指发现事故隐患，可能对环境造成一定程度的威胁，预计威胁程度为厂区内，不会影响厂区外部环境。</w:t>
      </w:r>
    </w:p>
    <w:p>
      <w:pPr>
        <w:spacing w:line="440" w:lineRule="exact"/>
        <w:ind w:firstLine="480" w:firstLineChars="200"/>
        <w:rPr>
          <w:bCs/>
          <w:sz w:val="24"/>
        </w:rPr>
      </w:pPr>
      <w:r>
        <w:rPr>
          <w:rFonts w:hint="eastAsia"/>
          <w:bCs/>
          <w:sz w:val="24"/>
        </w:rPr>
        <w:t>（3）I级预警（红色）</w:t>
      </w:r>
    </w:p>
    <w:p>
      <w:pPr>
        <w:spacing w:line="440" w:lineRule="exact"/>
        <w:ind w:firstLine="480" w:firstLineChars="200"/>
        <w:rPr>
          <w:bCs/>
          <w:sz w:val="24"/>
        </w:rPr>
      </w:pPr>
      <w:r>
        <w:rPr>
          <w:rFonts w:hint="eastAsia"/>
          <w:bCs/>
          <w:sz w:val="24"/>
        </w:rPr>
        <w:t>I级预警是指发现事故隐患，可能对环境造成严重威胁，预计威胁程度会影响到厂区外部，或仅依靠公司力量无法满足救援要求。</w:t>
      </w:r>
    </w:p>
    <w:p>
      <w:pPr>
        <w:spacing w:line="440" w:lineRule="exact"/>
        <w:ind w:firstLine="480" w:firstLineChars="200"/>
        <w:rPr>
          <w:bCs/>
          <w:color w:val="000000" w:themeColor="text1"/>
          <w:sz w:val="24"/>
          <w14:textFill>
            <w14:solidFill>
              <w14:schemeClr w14:val="tx1"/>
            </w14:solidFill>
          </w14:textFill>
        </w:rPr>
      </w:pPr>
      <w:r>
        <w:rPr>
          <w:rFonts w:hint="eastAsia"/>
          <w:bCs/>
          <w:sz w:val="24"/>
        </w:rPr>
        <w:t>I级预警需要应急指挥部总指挥授权相关人员或应急总指挥直接向</w:t>
      </w:r>
      <w:r>
        <w:rPr>
          <w:rFonts w:hint="eastAsia" w:hAnsi="宋体"/>
          <w:color w:val="000000" w:themeColor="text1"/>
          <w:sz w:val="24"/>
          <w14:textFill>
            <w14:solidFill>
              <w14:schemeClr w14:val="tx1"/>
            </w14:solidFill>
          </w14:textFill>
        </w:rPr>
        <w:t>区环境保护局</w:t>
      </w:r>
      <w:r>
        <w:rPr>
          <w:rFonts w:hint="eastAsia"/>
          <w:bCs/>
          <w:color w:val="000000" w:themeColor="text1"/>
          <w:sz w:val="24"/>
          <w14:textFill>
            <w14:solidFill>
              <w14:schemeClr w14:val="tx1"/>
            </w14:solidFill>
          </w14:textFill>
        </w:rPr>
        <w:t>等部门进行汇报。</w:t>
      </w:r>
    </w:p>
    <w:p>
      <w:pPr>
        <w:spacing w:line="440" w:lineRule="exact"/>
        <w:outlineLvl w:val="2"/>
        <w:rPr>
          <w:rFonts w:eastAsia="黑体"/>
          <w:b/>
          <w:snapToGrid w:val="0"/>
          <w:spacing w:val="4"/>
          <w:kern w:val="0"/>
          <w:sz w:val="24"/>
          <w:szCs w:val="28"/>
        </w:rPr>
      </w:pPr>
      <w:bookmarkStart w:id="167" w:name="_Toc10105682"/>
      <w:bookmarkStart w:id="168" w:name="_Toc524953693"/>
      <w:r>
        <w:rPr>
          <w:rFonts w:eastAsia="黑体"/>
          <w:b/>
          <w:snapToGrid w:val="0"/>
          <w:spacing w:val="4"/>
          <w:kern w:val="0"/>
          <w:sz w:val="24"/>
          <w:szCs w:val="28"/>
        </w:rPr>
        <w:t>5.3.</w:t>
      </w:r>
      <w:bookmarkEnd w:id="161"/>
      <w:bookmarkEnd w:id="162"/>
      <w:bookmarkStart w:id="169" w:name="_Toc428408822"/>
      <w:bookmarkStart w:id="170" w:name="_Toc428795895"/>
      <w:bookmarkStart w:id="171" w:name="_Toc469746189"/>
      <w:bookmarkStart w:id="172" w:name="_Toc428190607"/>
      <w:bookmarkStart w:id="173" w:name="_Toc428802596"/>
      <w:bookmarkStart w:id="174" w:name="_Toc484163998"/>
      <w:bookmarkStart w:id="175" w:name="_Toc336595903"/>
      <w:bookmarkStart w:id="176" w:name="_Toc398113373"/>
      <w:bookmarkStart w:id="177" w:name="_Toc470161920"/>
      <w:bookmarkStart w:id="178" w:name="_Toc336596946"/>
      <w:bookmarkStart w:id="179" w:name="_Toc396725930"/>
      <w:bookmarkStart w:id="180" w:name="_Toc362335819"/>
      <w:bookmarkStart w:id="181" w:name="_Toc336595788"/>
      <w:bookmarkStart w:id="182" w:name="_Toc359944920"/>
      <w:bookmarkStart w:id="183" w:name="_Toc396116417"/>
      <w:bookmarkStart w:id="184" w:name="_Toc336595424"/>
      <w:bookmarkStart w:id="185" w:name="_Toc364166789"/>
      <w:r>
        <w:rPr>
          <w:rFonts w:hint="eastAsia" w:eastAsia="黑体"/>
          <w:b/>
          <w:snapToGrid w:val="0"/>
          <w:spacing w:val="4"/>
          <w:kern w:val="0"/>
          <w:sz w:val="24"/>
          <w:szCs w:val="28"/>
        </w:rPr>
        <w:t>2</w:t>
      </w:r>
      <w:r>
        <w:rPr>
          <w:rFonts w:eastAsia="黑体"/>
          <w:b/>
          <w:snapToGrid w:val="0"/>
          <w:spacing w:val="4"/>
          <w:kern w:val="0"/>
          <w:sz w:val="24"/>
          <w:szCs w:val="28"/>
        </w:rPr>
        <w:t>预警响应</w:t>
      </w:r>
      <w:bookmarkEnd w:id="163"/>
      <w:bookmarkEnd w:id="164"/>
      <w:bookmarkEnd w:id="165"/>
      <w:bookmarkEnd w:id="166"/>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r>
        <w:rPr>
          <w:rFonts w:hint="eastAsia" w:eastAsia="黑体"/>
          <w:b/>
          <w:snapToGrid w:val="0"/>
          <w:spacing w:val="4"/>
          <w:kern w:val="0"/>
          <w:sz w:val="24"/>
          <w:szCs w:val="28"/>
        </w:rPr>
        <w:t>程序</w:t>
      </w:r>
      <w:bookmarkEnd w:id="167"/>
      <w:bookmarkEnd w:id="168"/>
    </w:p>
    <w:p>
      <w:pPr>
        <w:spacing w:line="440" w:lineRule="exact"/>
        <w:ind w:firstLine="480" w:firstLineChars="200"/>
        <w:rPr>
          <w:rFonts w:hAnsi="宋体"/>
          <w:bCs/>
          <w:sz w:val="24"/>
        </w:rPr>
      </w:pPr>
      <w:bookmarkStart w:id="186" w:name="_Toc336596947"/>
      <w:bookmarkStart w:id="187" w:name="_Toc336595425"/>
      <w:bookmarkStart w:id="188" w:name="_Toc484163999"/>
      <w:bookmarkStart w:id="189" w:name="_Toc336595904"/>
      <w:bookmarkStart w:id="190" w:name="_Toc336595789"/>
      <w:r>
        <w:rPr>
          <w:rFonts w:hint="eastAsia" w:hAnsi="宋体"/>
          <w:bCs/>
          <w:sz w:val="24"/>
        </w:rPr>
        <w:t>（1）现场一旦发生可能导致环境污染事件的征兆，可能造成突发环境事件时，则马上启动III级预警；</w:t>
      </w:r>
    </w:p>
    <w:p>
      <w:pPr>
        <w:spacing w:line="440" w:lineRule="exact"/>
        <w:ind w:firstLine="480" w:firstLineChars="200"/>
        <w:rPr>
          <w:rFonts w:hAnsi="宋体"/>
          <w:bCs/>
          <w:sz w:val="24"/>
        </w:rPr>
      </w:pPr>
      <w:r>
        <w:rPr>
          <w:rFonts w:hint="eastAsia" w:hAnsi="宋体"/>
          <w:bCs/>
          <w:sz w:val="24"/>
        </w:rPr>
        <w:t>（2）一旦启动III级预警，应急指挥部需立即派人赶赴现场，了解事故情况，及时向应急指挥部报告情况，并做好启动II级预警的准备；</w:t>
      </w:r>
    </w:p>
    <w:p>
      <w:pPr>
        <w:spacing w:line="440" w:lineRule="exact"/>
        <w:ind w:firstLine="480" w:firstLineChars="200"/>
        <w:rPr>
          <w:rFonts w:hAnsi="宋体"/>
          <w:bCs/>
          <w:color w:val="000000" w:themeColor="text1"/>
          <w:sz w:val="24"/>
          <w14:textFill>
            <w14:solidFill>
              <w14:schemeClr w14:val="tx1"/>
            </w14:solidFill>
          </w14:textFill>
        </w:rPr>
      </w:pPr>
      <w:r>
        <w:rPr>
          <w:rFonts w:hint="eastAsia" w:hAnsi="宋体"/>
          <w:bCs/>
          <w:sz w:val="24"/>
        </w:rPr>
        <w:t>（3）一旦启动II级预警，应急指挥部应将事故情况上报</w:t>
      </w:r>
      <w:bookmarkStart w:id="191" w:name="_Hlk11760628"/>
      <w:r>
        <w:rPr>
          <w:rFonts w:hint="eastAsia" w:hAnsi="宋体"/>
          <w:bCs/>
          <w:color w:val="000000" w:themeColor="text1"/>
          <w:sz w:val="24"/>
          <w14:textFill>
            <w14:solidFill>
              <w14:schemeClr w14:val="tx1"/>
            </w14:solidFill>
          </w14:textFill>
        </w:rPr>
        <w:t>区环境保护局</w:t>
      </w:r>
      <w:bookmarkEnd w:id="191"/>
      <w:r>
        <w:rPr>
          <w:rFonts w:hint="eastAsia" w:hAnsi="宋体"/>
          <w:bCs/>
          <w:color w:val="000000" w:themeColor="text1"/>
          <w:sz w:val="24"/>
          <w14:textFill>
            <w14:solidFill>
              <w14:schemeClr w14:val="tx1"/>
            </w14:solidFill>
          </w14:textFill>
        </w:rPr>
        <w:t>，并评估事故的发展态势。</w:t>
      </w:r>
    </w:p>
    <w:p>
      <w:pPr>
        <w:spacing w:line="440" w:lineRule="exact"/>
        <w:ind w:firstLine="480" w:firstLineChars="200"/>
        <w:rPr>
          <w:rFonts w:hAnsi="宋体"/>
          <w:bCs/>
          <w:sz w:val="24"/>
        </w:rPr>
      </w:pPr>
      <w:r>
        <w:rPr>
          <w:rFonts w:hint="eastAsia" w:hAnsi="宋体"/>
          <w:bCs/>
          <w:color w:val="000000" w:themeColor="text1"/>
          <w:sz w:val="24"/>
          <w14:textFill>
            <w14:solidFill>
              <w14:schemeClr w14:val="tx1"/>
            </w14:solidFill>
          </w14:textFill>
        </w:rPr>
        <w:t>（4）当达到I级预警时，应急指挥部向区环境保护局报告并提</w:t>
      </w:r>
      <w:r>
        <w:rPr>
          <w:rFonts w:hint="eastAsia" w:hAnsi="宋体"/>
          <w:bCs/>
          <w:sz w:val="24"/>
        </w:rPr>
        <w:t>出相应的建议。</w:t>
      </w:r>
    </w:p>
    <w:p>
      <w:pPr>
        <w:spacing w:line="440" w:lineRule="exact"/>
        <w:outlineLvl w:val="2"/>
        <w:rPr>
          <w:rFonts w:eastAsia="黑体"/>
          <w:b/>
          <w:snapToGrid w:val="0"/>
          <w:spacing w:val="4"/>
          <w:kern w:val="0"/>
          <w:sz w:val="24"/>
          <w:szCs w:val="28"/>
        </w:rPr>
      </w:pPr>
      <w:bookmarkStart w:id="192" w:name="_Toc10105683"/>
      <w:bookmarkStart w:id="193" w:name="_Toc524953694"/>
      <w:r>
        <w:rPr>
          <w:rFonts w:eastAsia="黑体"/>
          <w:b/>
          <w:snapToGrid w:val="0"/>
          <w:spacing w:val="4"/>
          <w:kern w:val="0"/>
          <w:sz w:val="24"/>
          <w:szCs w:val="28"/>
        </w:rPr>
        <w:t>5.3.</w:t>
      </w:r>
      <w:r>
        <w:rPr>
          <w:rFonts w:hint="eastAsia" w:eastAsia="黑体"/>
          <w:b/>
          <w:snapToGrid w:val="0"/>
          <w:spacing w:val="4"/>
          <w:kern w:val="0"/>
          <w:sz w:val="24"/>
          <w:szCs w:val="28"/>
        </w:rPr>
        <w:t>3</w:t>
      </w:r>
      <w:r>
        <w:rPr>
          <w:rFonts w:eastAsia="黑体"/>
          <w:b/>
          <w:snapToGrid w:val="0"/>
          <w:spacing w:val="4"/>
          <w:kern w:val="0"/>
          <w:sz w:val="24"/>
          <w:szCs w:val="28"/>
        </w:rPr>
        <w:t>预警响应</w:t>
      </w:r>
      <w:r>
        <w:rPr>
          <w:rFonts w:hint="eastAsia" w:eastAsia="黑体"/>
          <w:b/>
          <w:snapToGrid w:val="0"/>
          <w:spacing w:val="4"/>
          <w:kern w:val="0"/>
          <w:sz w:val="24"/>
          <w:szCs w:val="28"/>
        </w:rPr>
        <w:t>措施</w:t>
      </w:r>
      <w:bookmarkEnd w:id="192"/>
      <w:bookmarkEnd w:id="193"/>
    </w:p>
    <w:p>
      <w:pPr>
        <w:spacing w:line="440" w:lineRule="exact"/>
        <w:ind w:firstLine="480" w:firstLineChars="200"/>
        <w:rPr>
          <w:sz w:val="24"/>
        </w:rPr>
      </w:pPr>
      <w:r>
        <w:rPr>
          <w:rFonts w:hint="eastAsia"/>
          <w:sz w:val="24"/>
        </w:rPr>
        <w:t>当发布预警信息后，应急指挥部统筹采取以下措施：</w:t>
      </w:r>
    </w:p>
    <w:p>
      <w:pPr>
        <w:spacing w:line="440" w:lineRule="exact"/>
        <w:ind w:firstLine="480" w:firstLineChars="200"/>
        <w:rPr>
          <w:sz w:val="24"/>
        </w:rPr>
      </w:pPr>
      <w:r>
        <w:rPr>
          <w:rFonts w:hint="eastAsia"/>
          <w:sz w:val="24"/>
        </w:rPr>
        <w:t>（1）下达进入相应防范等级的指令，及时发布和传递预警信息；</w:t>
      </w:r>
    </w:p>
    <w:p>
      <w:pPr>
        <w:spacing w:line="440" w:lineRule="exact"/>
        <w:ind w:firstLine="480" w:firstLineChars="200"/>
        <w:rPr>
          <w:sz w:val="24"/>
        </w:rPr>
      </w:pPr>
      <w:r>
        <w:rPr>
          <w:rFonts w:hint="eastAsia"/>
          <w:sz w:val="24"/>
        </w:rPr>
        <w:t>（2）接到警报后，各应急小组相关人员进入待命状态，准备好应急抢险工具和物资，做好启动应急预案，进行应急响应的准备；</w:t>
      </w:r>
    </w:p>
    <w:p>
      <w:pPr>
        <w:spacing w:line="440" w:lineRule="exact"/>
        <w:ind w:firstLine="480" w:firstLineChars="200"/>
        <w:rPr>
          <w:sz w:val="24"/>
        </w:rPr>
      </w:pPr>
      <w:r>
        <w:rPr>
          <w:rFonts w:hint="eastAsia"/>
          <w:sz w:val="24"/>
        </w:rPr>
        <w:t>（3）通知与应急处置无关的可能受到伤害的人员做好撤离准备；</w:t>
      </w:r>
    </w:p>
    <w:p>
      <w:pPr>
        <w:spacing w:line="440" w:lineRule="exact"/>
        <w:ind w:firstLine="480" w:firstLineChars="200"/>
        <w:rPr>
          <w:sz w:val="24"/>
        </w:rPr>
      </w:pPr>
      <w:r>
        <w:rPr>
          <w:rFonts w:hint="eastAsia"/>
          <w:sz w:val="24"/>
        </w:rPr>
        <w:t>（4）指令各应急小组进入应急状态，污染处置组立即安排人员开展事故排查工作，随时掌握并报告事态情况；</w:t>
      </w:r>
    </w:p>
    <w:p>
      <w:pPr>
        <w:spacing w:line="440" w:lineRule="exact"/>
        <w:ind w:firstLine="480" w:firstLineChars="200"/>
        <w:rPr>
          <w:sz w:val="24"/>
        </w:rPr>
      </w:pPr>
      <w:r>
        <w:rPr>
          <w:rFonts w:hint="eastAsia"/>
          <w:sz w:val="24"/>
        </w:rPr>
        <w:t>（5）针对突发环境事件可能造成的危害，封闭、隔离或限制使用/出入有关场所，中止可能导致危险扩大的行为和活动；</w:t>
      </w:r>
    </w:p>
    <w:p>
      <w:pPr>
        <w:spacing w:line="440" w:lineRule="exact"/>
        <w:ind w:firstLine="480" w:firstLineChars="200"/>
        <w:rPr>
          <w:sz w:val="24"/>
        </w:rPr>
      </w:pPr>
      <w:r>
        <w:rPr>
          <w:rFonts w:hint="eastAsia"/>
          <w:sz w:val="24"/>
        </w:rPr>
        <w:t>（6）调集环境应急所需物资和设备，确保应急保障工作；</w:t>
      </w:r>
    </w:p>
    <w:p>
      <w:pPr>
        <w:spacing w:line="440" w:lineRule="exact"/>
        <w:ind w:firstLine="480" w:firstLineChars="200"/>
        <w:rPr>
          <w:sz w:val="24"/>
        </w:rPr>
      </w:pPr>
      <w:r>
        <w:rPr>
          <w:rFonts w:hint="eastAsia"/>
          <w:sz w:val="24"/>
        </w:rPr>
        <w:t>（7）根据事件的情况变化，适时宣布应急状态是否解除。</w:t>
      </w:r>
    </w:p>
    <w:p>
      <w:pPr>
        <w:pStyle w:val="4"/>
        <w:spacing w:before="0" w:after="0" w:line="500" w:lineRule="exact"/>
        <w:rPr>
          <w:rFonts w:ascii="Times New Roman" w:hAnsi="Times New Roman" w:eastAsia="宋体"/>
          <w:sz w:val="28"/>
          <w:szCs w:val="28"/>
        </w:rPr>
      </w:pPr>
      <w:bookmarkStart w:id="194" w:name="_Toc10105684"/>
      <w:bookmarkStart w:id="195" w:name="_Toc500401572"/>
      <w:r>
        <w:rPr>
          <w:rFonts w:ascii="Times New Roman" w:hAnsi="Times New Roman" w:eastAsia="宋体"/>
          <w:sz w:val="28"/>
          <w:szCs w:val="28"/>
        </w:rPr>
        <w:t>5.4预警解除</w:t>
      </w:r>
      <w:bookmarkEnd w:id="186"/>
      <w:bookmarkEnd w:id="187"/>
      <w:bookmarkEnd w:id="188"/>
      <w:bookmarkEnd w:id="189"/>
      <w:bookmarkEnd w:id="190"/>
      <w:bookmarkEnd w:id="194"/>
      <w:bookmarkEnd w:id="195"/>
      <w:r>
        <w:rPr>
          <w:rFonts w:ascii="Times New Roman" w:hAnsi="Times New Roman" w:eastAsia="宋体"/>
          <w:sz w:val="28"/>
          <w:szCs w:val="28"/>
        </w:rPr>
        <w:tab/>
      </w:r>
    </w:p>
    <w:p>
      <w:pPr>
        <w:spacing w:line="440" w:lineRule="exact"/>
        <w:ind w:firstLine="480" w:firstLineChars="200"/>
        <w:rPr>
          <w:sz w:val="24"/>
        </w:rPr>
      </w:pPr>
      <w:r>
        <w:rPr>
          <w:rFonts w:hint="eastAsia"/>
          <w:sz w:val="24"/>
        </w:rPr>
        <w:t>现场环境风险得到控制后，当污染物不再扩散并得到有效地收集、处理后，污染处置组根据现场的实际情况，结合监测数据将结果上报给环境应急指挥部决策层领导，确定引起预警的条件消除和各类隐患排除后，应急指挥部将预警解除。当启动县突发环境事件应急预案时，由县突发环境事件应急指挥部宣布预警解除。</w:t>
      </w:r>
    </w:p>
    <w:p>
      <w:pPr>
        <w:pStyle w:val="45"/>
        <w:spacing w:line="500" w:lineRule="exact"/>
        <w:ind w:firstLine="0" w:firstLineChars="0"/>
        <w:outlineLvl w:val="0"/>
        <w:rPr>
          <w:rFonts w:ascii="Times New Roman" w:hAnsi="Times New Roman" w:cs="Times New Roman"/>
          <w:b/>
          <w:sz w:val="32"/>
          <w:szCs w:val="32"/>
        </w:rPr>
        <w:sectPr>
          <w:headerReference r:id="rId8" w:type="default"/>
          <w:pgSz w:w="11906" w:h="16838"/>
          <w:pgMar w:top="1440" w:right="1800" w:bottom="1440" w:left="1800" w:header="851" w:footer="992" w:gutter="0"/>
          <w:cols w:space="425" w:num="1"/>
          <w:docGrid w:type="lines" w:linePitch="312" w:charSpace="0"/>
        </w:sectPr>
      </w:pPr>
    </w:p>
    <w:p>
      <w:pPr>
        <w:outlineLvl w:val="0"/>
        <w:rPr>
          <w:rFonts w:eastAsia="楷体"/>
          <w:b/>
          <w:snapToGrid w:val="0"/>
          <w:spacing w:val="4"/>
          <w:kern w:val="0"/>
          <w:sz w:val="30"/>
          <w:szCs w:val="32"/>
        </w:rPr>
      </w:pPr>
      <w:bookmarkStart w:id="196" w:name="_Toc10105685"/>
      <w:r>
        <w:rPr>
          <w:rFonts w:hint="eastAsia" w:eastAsia="楷体"/>
          <w:b/>
          <w:snapToGrid w:val="0"/>
          <w:spacing w:val="4"/>
          <w:kern w:val="0"/>
          <w:sz w:val="30"/>
          <w:szCs w:val="32"/>
        </w:rPr>
        <w:t>6</w:t>
      </w:r>
      <w:r>
        <w:rPr>
          <w:rFonts w:eastAsia="楷体"/>
          <w:b/>
          <w:snapToGrid w:val="0"/>
          <w:spacing w:val="4"/>
          <w:kern w:val="0"/>
          <w:sz w:val="30"/>
          <w:szCs w:val="32"/>
        </w:rPr>
        <w:t>应急响应</w:t>
      </w:r>
      <w:bookmarkEnd w:id="160"/>
      <w:bookmarkEnd w:id="196"/>
    </w:p>
    <w:p>
      <w:pPr>
        <w:spacing w:before="60" w:after="60" w:line="500" w:lineRule="exact"/>
        <w:outlineLvl w:val="1"/>
        <w:rPr>
          <w:rFonts w:eastAsia="黑体"/>
          <w:b/>
          <w:snapToGrid w:val="0"/>
          <w:spacing w:val="4"/>
          <w:kern w:val="0"/>
          <w:sz w:val="28"/>
          <w:szCs w:val="30"/>
        </w:rPr>
      </w:pPr>
      <w:bookmarkStart w:id="197" w:name="_Toc336595433"/>
      <w:bookmarkStart w:id="198" w:name="_Toc336595797"/>
      <w:bookmarkStart w:id="199" w:name="_Toc336596955"/>
      <w:bookmarkStart w:id="200" w:name="_Toc336595912"/>
      <w:bookmarkStart w:id="201" w:name="_Toc10105686"/>
      <w:bookmarkStart w:id="202" w:name="_Toc484164001"/>
      <w:r>
        <w:rPr>
          <w:rFonts w:hint="eastAsia" w:eastAsia="黑体"/>
          <w:b/>
          <w:snapToGrid w:val="0"/>
          <w:spacing w:val="4"/>
          <w:kern w:val="0"/>
          <w:sz w:val="28"/>
          <w:szCs w:val="30"/>
        </w:rPr>
        <w:t>6</w:t>
      </w:r>
      <w:r>
        <w:rPr>
          <w:rFonts w:eastAsia="黑体"/>
          <w:b/>
          <w:snapToGrid w:val="0"/>
          <w:spacing w:val="4"/>
          <w:kern w:val="0"/>
          <w:sz w:val="28"/>
          <w:szCs w:val="30"/>
        </w:rPr>
        <w:t>.1</w:t>
      </w:r>
      <w:bookmarkEnd w:id="197"/>
      <w:bookmarkEnd w:id="198"/>
      <w:bookmarkEnd w:id="199"/>
      <w:bookmarkEnd w:id="200"/>
      <w:r>
        <w:rPr>
          <w:rFonts w:eastAsia="黑体"/>
          <w:b/>
          <w:snapToGrid w:val="0"/>
          <w:spacing w:val="4"/>
          <w:kern w:val="0"/>
          <w:sz w:val="28"/>
          <w:szCs w:val="30"/>
        </w:rPr>
        <w:t>分级响应机制</w:t>
      </w:r>
      <w:bookmarkEnd w:id="201"/>
      <w:bookmarkEnd w:id="202"/>
    </w:p>
    <w:p>
      <w:pPr>
        <w:spacing w:line="440" w:lineRule="exact"/>
        <w:ind w:firstLine="480" w:firstLineChars="200"/>
        <w:rPr>
          <w:color w:val="000000" w:themeColor="text1"/>
          <w:kern w:val="0"/>
          <w:sz w:val="24"/>
          <w14:textFill>
            <w14:solidFill>
              <w14:schemeClr w14:val="tx1"/>
            </w14:solidFill>
          </w14:textFill>
        </w:rPr>
      </w:pPr>
      <w:r>
        <w:rPr>
          <w:rFonts w:hint="eastAsia" w:hAnsi="宋体"/>
          <w:color w:val="FF0000"/>
          <w:sz w:val="24"/>
          <w:lang w:eastAsia="zh-CN"/>
        </w:rPr>
        <w:t>中国石化销售有限公司江西南昌石油分公司昌大加油站根据突发环境事件严重性和紧急程度，将公司应急响应级别分为车间级、公司级和社会级，均有应急指挥部总指挥发布相关信息。公司车间级事故的应对主体为罐区，责任人为当班加油员，事故情况需上报应急指挥部副总指挥；公司级事故的应对主体为罐区和加油区，责任人为站长，事故情况需上报应急指挥部总指挥；社会级事故应对主体为公司所有救援力量，责任人为公司应急指挥部总指挥，事故情况需上报区政府和区环境保护局</w:t>
      </w:r>
      <w:r>
        <w:rPr>
          <w:rFonts w:hint="eastAsia"/>
          <w:color w:val="000000" w:themeColor="text1"/>
          <w:sz w:val="24"/>
          <w14:textFill>
            <w14:solidFill>
              <w14:schemeClr w14:val="tx1"/>
            </w14:solidFill>
          </w14:textFill>
        </w:rPr>
        <w:t>。</w:t>
      </w:r>
    </w:p>
    <w:p>
      <w:pPr>
        <w:spacing w:line="500" w:lineRule="exact"/>
        <w:jc w:val="center"/>
        <w:rPr>
          <w:b/>
          <w:color w:val="000000" w:themeColor="text1"/>
          <w:szCs w:val="21"/>
          <w14:textFill>
            <w14:solidFill>
              <w14:schemeClr w14:val="tx1"/>
            </w14:solidFill>
          </w14:textFill>
        </w:rPr>
      </w:pPr>
      <w:bookmarkStart w:id="203" w:name="_Toc469746181"/>
      <w:bookmarkStart w:id="204" w:name="_Toc484164002"/>
      <w:r>
        <w:rPr>
          <w:b/>
          <w:color w:val="000000" w:themeColor="text1"/>
          <w:szCs w:val="21"/>
          <w14:textFill>
            <w14:solidFill>
              <w14:schemeClr w14:val="tx1"/>
            </w14:solidFill>
          </w14:textFill>
        </w:rPr>
        <w:t>6.1-1  企业突发环境事件应急响应分级一览表</w:t>
      </w:r>
    </w:p>
    <w:tbl>
      <w:tblPr>
        <w:tblStyle w:val="31"/>
        <w:tblW w:w="1417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660"/>
        <w:gridCol w:w="1843"/>
        <w:gridCol w:w="2268"/>
        <w:gridCol w:w="2409"/>
        <w:gridCol w:w="3261"/>
        <w:gridCol w:w="173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atLeast"/>
        </w:trPr>
        <w:tc>
          <w:tcPr>
            <w:tcW w:w="2660" w:type="dxa"/>
            <w:vAlign w:val="center"/>
          </w:tcPr>
          <w:p>
            <w:pPr>
              <w:adjustRightInd w:val="0"/>
              <w:snapToGrid w:val="0"/>
              <w:spacing w:line="32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事件类型</w:t>
            </w:r>
          </w:p>
        </w:tc>
        <w:tc>
          <w:tcPr>
            <w:tcW w:w="1843" w:type="dxa"/>
            <w:vAlign w:val="center"/>
          </w:tcPr>
          <w:p>
            <w:pPr>
              <w:adjustRightInd w:val="0"/>
              <w:snapToGrid w:val="0"/>
              <w:spacing w:line="32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污染物</w:t>
            </w:r>
          </w:p>
        </w:tc>
        <w:tc>
          <w:tcPr>
            <w:tcW w:w="2268" w:type="dxa"/>
            <w:vAlign w:val="center"/>
          </w:tcPr>
          <w:p>
            <w:pPr>
              <w:adjustRightInd w:val="0"/>
              <w:snapToGrid w:val="0"/>
              <w:spacing w:line="32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发生位置</w:t>
            </w:r>
          </w:p>
        </w:tc>
        <w:tc>
          <w:tcPr>
            <w:tcW w:w="2409" w:type="dxa"/>
            <w:vAlign w:val="center"/>
          </w:tcPr>
          <w:p>
            <w:pPr>
              <w:adjustRightInd w:val="0"/>
              <w:snapToGrid w:val="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车间级</w:t>
            </w:r>
          </w:p>
        </w:tc>
        <w:tc>
          <w:tcPr>
            <w:tcW w:w="3261" w:type="dxa"/>
            <w:vAlign w:val="center"/>
          </w:tcPr>
          <w:p>
            <w:pPr>
              <w:adjustRightInd w:val="0"/>
              <w:snapToGrid w:val="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公司级</w:t>
            </w:r>
          </w:p>
        </w:tc>
        <w:tc>
          <w:tcPr>
            <w:tcW w:w="1733" w:type="dxa"/>
            <w:vAlign w:val="center"/>
          </w:tcPr>
          <w:p>
            <w:pPr>
              <w:adjustRightInd w:val="0"/>
              <w:snapToGrid w:val="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社会级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28" w:hRule="atLeast"/>
        </w:trPr>
        <w:tc>
          <w:tcPr>
            <w:tcW w:w="2660" w:type="dxa"/>
            <w:vAlign w:val="center"/>
          </w:tcPr>
          <w:p>
            <w:pPr>
              <w:adjustRightInd w:val="0"/>
              <w:snapToGrid w:val="0"/>
              <w:spacing w:line="320" w:lineRule="exact"/>
              <w:jc w:val="center"/>
              <w:rPr>
                <w:snapToGrid w:val="0"/>
                <w:color w:val="FF0000"/>
                <w:kern w:val="0"/>
                <w:szCs w:val="21"/>
              </w:rPr>
            </w:pPr>
            <w:r>
              <w:rPr>
                <w:rFonts w:hint="eastAsia"/>
                <w:snapToGrid w:val="0"/>
                <w:color w:val="FF0000"/>
                <w:kern w:val="0"/>
                <w:szCs w:val="21"/>
              </w:rPr>
              <w:t>汽油</w:t>
            </w:r>
            <w:r>
              <w:rPr>
                <w:rFonts w:ascii="宋体" w:hAnsi="宋体"/>
                <w:color w:val="FF0000"/>
                <w:szCs w:val="21"/>
              </w:rPr>
              <w:t>泄漏、火灾</w:t>
            </w:r>
          </w:p>
        </w:tc>
        <w:tc>
          <w:tcPr>
            <w:tcW w:w="1843" w:type="dxa"/>
            <w:vAlign w:val="center"/>
          </w:tcPr>
          <w:p>
            <w:pPr>
              <w:adjustRightInd w:val="0"/>
              <w:snapToGrid w:val="0"/>
              <w:spacing w:line="320" w:lineRule="exact"/>
              <w:jc w:val="center"/>
              <w:rPr>
                <w:color w:val="FF0000"/>
                <w:szCs w:val="21"/>
              </w:rPr>
            </w:pPr>
            <w:r>
              <w:rPr>
                <w:rFonts w:hint="eastAsia"/>
                <w:snapToGrid w:val="0"/>
                <w:color w:val="FF0000"/>
                <w:kern w:val="0"/>
                <w:szCs w:val="21"/>
              </w:rPr>
              <w:t>汽油</w:t>
            </w:r>
          </w:p>
        </w:tc>
        <w:tc>
          <w:tcPr>
            <w:tcW w:w="2268" w:type="dxa"/>
            <w:vAlign w:val="center"/>
          </w:tcPr>
          <w:p>
            <w:pPr>
              <w:adjustRightInd w:val="0"/>
              <w:snapToGrid w:val="0"/>
              <w:spacing w:line="320" w:lineRule="exact"/>
              <w:jc w:val="center"/>
              <w:rPr>
                <w:color w:val="FF0000"/>
                <w:kern w:val="0"/>
                <w:szCs w:val="21"/>
              </w:rPr>
            </w:pPr>
            <w:r>
              <w:rPr>
                <w:rFonts w:hint="eastAsia"/>
                <w:color w:val="FF0000"/>
                <w:kern w:val="0"/>
                <w:szCs w:val="21"/>
              </w:rPr>
              <w:t>储罐区、加油区</w:t>
            </w:r>
          </w:p>
        </w:tc>
        <w:tc>
          <w:tcPr>
            <w:tcW w:w="2409" w:type="dxa"/>
            <w:vAlign w:val="center"/>
          </w:tcPr>
          <w:p>
            <w:pPr>
              <w:adjustRightInd w:val="0"/>
              <w:snapToGrid w:val="0"/>
              <w:spacing w:line="320" w:lineRule="exact"/>
              <w:jc w:val="center"/>
              <w:rPr>
                <w:snapToGrid w:val="0"/>
                <w:color w:val="FF0000"/>
                <w:kern w:val="0"/>
                <w:szCs w:val="21"/>
              </w:rPr>
            </w:pPr>
            <w:r>
              <w:rPr>
                <w:rFonts w:hint="eastAsia"/>
                <w:snapToGrid w:val="0"/>
                <w:color w:val="FF0000"/>
                <w:kern w:val="0"/>
                <w:szCs w:val="21"/>
              </w:rPr>
              <w:t>汽油</w:t>
            </w:r>
            <w:r>
              <w:rPr>
                <w:rFonts w:ascii="宋体" w:hAnsi="宋体"/>
                <w:color w:val="FF0000"/>
                <w:szCs w:val="21"/>
              </w:rPr>
              <w:t>泄漏</w:t>
            </w:r>
            <w:r>
              <w:rPr>
                <w:rFonts w:hint="eastAsia" w:ascii="宋体" w:hAnsi="宋体"/>
                <w:color w:val="FF0000"/>
                <w:szCs w:val="21"/>
              </w:rPr>
              <w:t>事故</w:t>
            </w:r>
          </w:p>
        </w:tc>
        <w:tc>
          <w:tcPr>
            <w:tcW w:w="3261" w:type="dxa"/>
            <w:vAlign w:val="center"/>
          </w:tcPr>
          <w:p>
            <w:pPr>
              <w:adjustRightInd w:val="0"/>
              <w:snapToGrid w:val="0"/>
              <w:spacing w:line="320" w:lineRule="exact"/>
              <w:jc w:val="center"/>
              <w:rPr>
                <w:snapToGrid w:val="0"/>
                <w:color w:val="FF0000"/>
                <w:kern w:val="0"/>
                <w:szCs w:val="21"/>
              </w:rPr>
            </w:pPr>
            <w:r>
              <w:rPr>
                <w:rFonts w:hint="eastAsia"/>
                <w:snapToGrid w:val="0"/>
                <w:color w:val="FF0000"/>
                <w:kern w:val="0"/>
                <w:szCs w:val="21"/>
              </w:rPr>
              <w:t>汽油</w:t>
            </w:r>
            <w:r>
              <w:rPr>
                <w:rFonts w:hint="eastAsia"/>
                <w:color w:val="FF0000"/>
                <w:szCs w:val="21"/>
              </w:rPr>
              <w:t>火灾事故次生事故</w:t>
            </w:r>
          </w:p>
        </w:tc>
        <w:tc>
          <w:tcPr>
            <w:tcW w:w="1733" w:type="dxa"/>
            <w:vAlign w:val="center"/>
          </w:tcPr>
          <w:p>
            <w:pPr>
              <w:adjustRightInd w:val="0"/>
              <w:snapToGrid w:val="0"/>
              <w:spacing w:line="320" w:lineRule="exact"/>
              <w:jc w:val="center"/>
              <w:rPr>
                <w:color w:val="FF0000"/>
                <w:szCs w:val="21"/>
              </w:rPr>
            </w:pPr>
            <w:r>
              <w:rPr>
                <w:rFonts w:hint="eastAsia"/>
                <w:color w:val="FF0000"/>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28" w:hRule="atLeast"/>
        </w:trPr>
        <w:tc>
          <w:tcPr>
            <w:tcW w:w="2660" w:type="dxa"/>
            <w:vAlign w:val="center"/>
          </w:tcPr>
          <w:p>
            <w:pPr>
              <w:adjustRightInd w:val="0"/>
              <w:jc w:val="center"/>
              <w:rPr>
                <w:color w:val="FF0000"/>
                <w:szCs w:val="21"/>
              </w:rPr>
            </w:pPr>
            <w:r>
              <w:rPr>
                <w:rFonts w:hint="eastAsia"/>
                <w:color w:val="FF0000"/>
                <w:szCs w:val="21"/>
              </w:rPr>
              <w:t>废气催化净化装置</w:t>
            </w:r>
            <w:r>
              <w:rPr>
                <w:rFonts w:ascii="宋体" w:hAnsi="宋体"/>
                <w:snapToGrid w:val="0"/>
                <w:color w:val="FF0000"/>
                <w:kern w:val="0"/>
                <w:szCs w:val="21"/>
              </w:rPr>
              <w:t>失效</w:t>
            </w:r>
          </w:p>
        </w:tc>
        <w:tc>
          <w:tcPr>
            <w:tcW w:w="1843" w:type="dxa"/>
            <w:vAlign w:val="center"/>
          </w:tcPr>
          <w:p>
            <w:pPr>
              <w:adjustRightInd w:val="0"/>
              <w:spacing w:before="100" w:beforeAutospacing="1" w:after="100" w:afterAutospacing="1"/>
              <w:jc w:val="center"/>
              <w:rPr>
                <w:color w:val="FF0000"/>
                <w:szCs w:val="21"/>
              </w:rPr>
            </w:pPr>
            <w:r>
              <w:rPr>
                <w:rFonts w:hint="eastAsia" w:ascii="宋体" w:hAnsi="宋体"/>
                <w:color w:val="FF0000"/>
                <w:szCs w:val="21"/>
              </w:rPr>
              <w:t>非甲烷总烃</w:t>
            </w:r>
          </w:p>
        </w:tc>
        <w:tc>
          <w:tcPr>
            <w:tcW w:w="2268" w:type="dxa"/>
            <w:vAlign w:val="center"/>
          </w:tcPr>
          <w:p>
            <w:pPr>
              <w:adjustRightInd w:val="0"/>
              <w:snapToGrid w:val="0"/>
              <w:spacing w:line="320" w:lineRule="exact"/>
              <w:jc w:val="center"/>
              <w:rPr>
                <w:color w:val="FF0000"/>
                <w:szCs w:val="21"/>
              </w:rPr>
            </w:pPr>
            <w:r>
              <w:rPr>
                <w:rFonts w:hint="eastAsia"/>
                <w:color w:val="FF0000"/>
                <w:kern w:val="0"/>
                <w:szCs w:val="21"/>
              </w:rPr>
              <w:t>站内</w:t>
            </w:r>
          </w:p>
        </w:tc>
        <w:tc>
          <w:tcPr>
            <w:tcW w:w="2409" w:type="dxa"/>
            <w:vAlign w:val="center"/>
          </w:tcPr>
          <w:p>
            <w:pPr>
              <w:adjustRightInd w:val="0"/>
              <w:snapToGrid w:val="0"/>
              <w:spacing w:line="320" w:lineRule="exact"/>
              <w:jc w:val="center"/>
              <w:rPr>
                <w:color w:val="FF0000"/>
                <w:szCs w:val="21"/>
              </w:rPr>
            </w:pPr>
            <w:r>
              <w:rPr>
                <w:rFonts w:hint="eastAsia"/>
                <w:color w:val="FF0000"/>
                <w:szCs w:val="21"/>
              </w:rPr>
              <w:t>废气催化净化装置</w:t>
            </w:r>
            <w:r>
              <w:rPr>
                <w:rFonts w:ascii="宋体" w:hAnsi="宋体"/>
                <w:snapToGrid w:val="0"/>
                <w:color w:val="FF0000"/>
                <w:kern w:val="0"/>
                <w:szCs w:val="21"/>
              </w:rPr>
              <w:t>失效</w:t>
            </w:r>
          </w:p>
        </w:tc>
        <w:tc>
          <w:tcPr>
            <w:tcW w:w="3261" w:type="dxa"/>
            <w:vAlign w:val="center"/>
          </w:tcPr>
          <w:p>
            <w:pPr>
              <w:adjustRightInd w:val="0"/>
              <w:snapToGrid w:val="0"/>
              <w:spacing w:line="320" w:lineRule="exact"/>
              <w:jc w:val="center"/>
              <w:rPr>
                <w:color w:val="FF0000"/>
                <w:szCs w:val="21"/>
              </w:rPr>
            </w:pPr>
            <w:r>
              <w:rPr>
                <w:rFonts w:ascii="宋体" w:hAnsi="宋体"/>
                <w:color w:val="FF0000"/>
                <w:szCs w:val="21"/>
              </w:rPr>
              <w:t>废气超标排放</w:t>
            </w:r>
          </w:p>
        </w:tc>
        <w:tc>
          <w:tcPr>
            <w:tcW w:w="1733" w:type="dxa"/>
            <w:vAlign w:val="center"/>
          </w:tcPr>
          <w:p>
            <w:pPr>
              <w:adjustRightInd w:val="0"/>
              <w:snapToGrid w:val="0"/>
              <w:spacing w:line="320" w:lineRule="exact"/>
              <w:jc w:val="center"/>
              <w:rPr>
                <w:color w:val="FF0000"/>
                <w:szCs w:val="21"/>
              </w:rPr>
            </w:pPr>
            <w:r>
              <w:rPr>
                <w:rFonts w:hint="eastAsia"/>
                <w:color w:val="FF0000"/>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28" w:hRule="atLeast"/>
        </w:trPr>
        <w:tc>
          <w:tcPr>
            <w:tcW w:w="2660" w:type="dxa"/>
            <w:vAlign w:val="center"/>
          </w:tcPr>
          <w:p>
            <w:pPr>
              <w:adjustRightInd w:val="0"/>
              <w:snapToGrid w:val="0"/>
              <w:spacing w:line="320" w:lineRule="exact"/>
              <w:jc w:val="center"/>
              <w:rPr>
                <w:rFonts w:ascii="宋体" w:hAnsi="宋体"/>
                <w:snapToGrid w:val="0"/>
                <w:color w:val="FF0000"/>
                <w:kern w:val="0"/>
                <w:szCs w:val="21"/>
              </w:rPr>
            </w:pPr>
            <w:r>
              <w:rPr>
                <w:rFonts w:hint="eastAsia"/>
                <w:snapToGrid w:val="0"/>
                <w:color w:val="FF0000"/>
                <w:kern w:val="0"/>
                <w:szCs w:val="21"/>
              </w:rPr>
              <w:t>油泥</w:t>
            </w:r>
            <w:r>
              <w:rPr>
                <w:rFonts w:hint="eastAsia"/>
                <w:color w:val="FF0000"/>
                <w:szCs w:val="21"/>
              </w:rPr>
              <w:t>流失事故</w:t>
            </w:r>
          </w:p>
        </w:tc>
        <w:tc>
          <w:tcPr>
            <w:tcW w:w="1843" w:type="dxa"/>
            <w:vAlign w:val="center"/>
          </w:tcPr>
          <w:p>
            <w:pPr>
              <w:adjustRightInd w:val="0"/>
              <w:snapToGrid w:val="0"/>
              <w:spacing w:line="320" w:lineRule="exact"/>
              <w:jc w:val="center"/>
              <w:rPr>
                <w:rFonts w:ascii="宋体" w:hAnsi="宋体"/>
                <w:color w:val="FF0000"/>
                <w:szCs w:val="21"/>
              </w:rPr>
            </w:pPr>
            <w:r>
              <w:rPr>
                <w:rFonts w:hint="eastAsia"/>
                <w:snapToGrid w:val="0"/>
                <w:color w:val="FF0000"/>
                <w:kern w:val="0"/>
                <w:szCs w:val="21"/>
              </w:rPr>
              <w:t>油泥</w:t>
            </w:r>
          </w:p>
        </w:tc>
        <w:tc>
          <w:tcPr>
            <w:tcW w:w="2268" w:type="dxa"/>
            <w:vAlign w:val="center"/>
          </w:tcPr>
          <w:p>
            <w:pPr>
              <w:adjustRightInd w:val="0"/>
              <w:snapToGrid w:val="0"/>
              <w:spacing w:line="320" w:lineRule="exact"/>
              <w:jc w:val="center"/>
              <w:rPr>
                <w:color w:val="FF0000"/>
                <w:kern w:val="0"/>
                <w:szCs w:val="21"/>
              </w:rPr>
            </w:pPr>
            <w:r>
              <w:rPr>
                <w:rFonts w:hint="eastAsia"/>
                <w:color w:val="FF0000"/>
                <w:szCs w:val="21"/>
              </w:rPr>
              <w:t>危废暂存间</w:t>
            </w:r>
          </w:p>
        </w:tc>
        <w:tc>
          <w:tcPr>
            <w:tcW w:w="2409" w:type="dxa"/>
            <w:vAlign w:val="center"/>
          </w:tcPr>
          <w:p>
            <w:pPr>
              <w:adjustRightInd w:val="0"/>
              <w:snapToGrid w:val="0"/>
              <w:spacing w:line="320" w:lineRule="exact"/>
              <w:jc w:val="center"/>
              <w:rPr>
                <w:bCs/>
                <w:color w:val="FF0000"/>
                <w:szCs w:val="21"/>
              </w:rPr>
            </w:pPr>
            <w:r>
              <w:rPr>
                <w:rFonts w:hint="eastAsia"/>
                <w:snapToGrid w:val="0"/>
                <w:color w:val="FF0000"/>
                <w:kern w:val="0"/>
                <w:szCs w:val="21"/>
              </w:rPr>
              <w:t>油泥流失</w:t>
            </w:r>
            <w:r>
              <w:rPr>
                <w:rFonts w:hint="eastAsia"/>
                <w:color w:val="FF0000"/>
                <w:szCs w:val="21"/>
              </w:rPr>
              <w:t>事故</w:t>
            </w:r>
          </w:p>
        </w:tc>
        <w:tc>
          <w:tcPr>
            <w:tcW w:w="3261" w:type="dxa"/>
            <w:vAlign w:val="center"/>
          </w:tcPr>
          <w:p>
            <w:pPr>
              <w:adjustRightInd w:val="0"/>
              <w:snapToGrid w:val="0"/>
              <w:spacing w:line="320" w:lineRule="exact"/>
              <w:jc w:val="center"/>
              <w:rPr>
                <w:bCs/>
                <w:color w:val="FF0000"/>
                <w:szCs w:val="21"/>
              </w:rPr>
            </w:pPr>
            <w:r>
              <w:rPr>
                <w:rFonts w:hint="eastAsia"/>
                <w:color w:val="FF0000"/>
                <w:szCs w:val="21"/>
              </w:rPr>
              <w:t>/</w:t>
            </w:r>
          </w:p>
        </w:tc>
        <w:tc>
          <w:tcPr>
            <w:tcW w:w="1733" w:type="dxa"/>
            <w:vAlign w:val="center"/>
          </w:tcPr>
          <w:p>
            <w:pPr>
              <w:adjustRightInd w:val="0"/>
              <w:snapToGrid w:val="0"/>
              <w:spacing w:line="320" w:lineRule="exact"/>
              <w:jc w:val="center"/>
              <w:rPr>
                <w:color w:val="FF0000"/>
                <w:szCs w:val="21"/>
              </w:rPr>
            </w:pPr>
            <w:r>
              <w:rPr>
                <w:rFonts w:hint="eastAsia"/>
                <w:snapToGrid w:val="0"/>
                <w:color w:val="FF0000"/>
                <w:kern w:val="0"/>
                <w:szCs w:val="21"/>
              </w:rPr>
              <w:t>油泥</w:t>
            </w:r>
            <w:r>
              <w:rPr>
                <w:rFonts w:hint="eastAsia"/>
                <w:color w:val="FF0000"/>
                <w:szCs w:val="21"/>
              </w:rPr>
              <w:t>流失/非法排污</w:t>
            </w:r>
          </w:p>
        </w:tc>
      </w:tr>
    </w:tbl>
    <w:p>
      <w:pPr>
        <w:sectPr>
          <w:pgSz w:w="16838" w:h="11906" w:orient="landscape"/>
          <w:pgMar w:top="1800" w:right="1440" w:bottom="1800" w:left="1440" w:header="851" w:footer="992" w:gutter="0"/>
          <w:cols w:space="425" w:num="1"/>
          <w:docGrid w:type="lines" w:linePitch="312" w:charSpace="0"/>
        </w:sectPr>
      </w:pPr>
    </w:p>
    <w:p>
      <w:pPr>
        <w:spacing w:before="60" w:after="60" w:line="500" w:lineRule="exact"/>
        <w:outlineLvl w:val="1"/>
        <w:rPr>
          <w:rFonts w:eastAsia="黑体"/>
          <w:b/>
          <w:snapToGrid w:val="0"/>
          <w:spacing w:val="4"/>
          <w:kern w:val="0"/>
          <w:sz w:val="28"/>
          <w:szCs w:val="30"/>
        </w:rPr>
      </w:pPr>
      <w:bookmarkStart w:id="205" w:name="_Toc10105687"/>
      <w:r>
        <w:rPr>
          <w:rFonts w:hint="eastAsia" w:eastAsia="黑体"/>
          <w:b/>
          <w:snapToGrid w:val="0"/>
          <w:spacing w:val="4"/>
          <w:kern w:val="0"/>
          <w:sz w:val="28"/>
          <w:szCs w:val="30"/>
        </w:rPr>
        <w:t>6</w:t>
      </w:r>
      <w:r>
        <w:rPr>
          <w:rFonts w:eastAsia="黑体"/>
          <w:b/>
          <w:snapToGrid w:val="0"/>
          <w:spacing w:val="4"/>
          <w:kern w:val="0"/>
          <w:sz w:val="28"/>
          <w:szCs w:val="30"/>
        </w:rPr>
        <w:t>.</w:t>
      </w:r>
      <w:r>
        <w:rPr>
          <w:rFonts w:hint="eastAsia" w:eastAsia="黑体"/>
          <w:b/>
          <w:snapToGrid w:val="0"/>
          <w:spacing w:val="4"/>
          <w:kern w:val="0"/>
          <w:sz w:val="28"/>
          <w:szCs w:val="30"/>
        </w:rPr>
        <w:t>2</w:t>
      </w:r>
      <w:r>
        <w:rPr>
          <w:rFonts w:eastAsia="黑体"/>
          <w:b/>
          <w:snapToGrid w:val="0"/>
          <w:spacing w:val="4"/>
          <w:kern w:val="0"/>
          <w:sz w:val="28"/>
          <w:szCs w:val="30"/>
        </w:rPr>
        <w:t>应急响应流程</w:t>
      </w:r>
      <w:bookmarkEnd w:id="203"/>
      <w:bookmarkEnd w:id="204"/>
      <w:bookmarkEnd w:id="205"/>
    </w:p>
    <w:p>
      <w:pPr>
        <w:adjustRightInd w:val="0"/>
        <w:snapToGrid w:val="0"/>
        <w:spacing w:line="440" w:lineRule="exact"/>
        <w:ind w:firstLine="480" w:firstLineChars="200"/>
        <w:rPr>
          <w:rFonts w:hAnsi="宋体"/>
          <w:bCs/>
          <w:snapToGrid w:val="0"/>
          <w:sz w:val="24"/>
        </w:rPr>
      </w:pPr>
      <w:r>
        <w:rPr>
          <w:rFonts w:hAnsi="宋体"/>
          <w:bCs/>
          <w:snapToGrid w:val="0"/>
          <w:sz w:val="24"/>
        </w:rPr>
        <w:t>企业应急响应流程见下图。</w:t>
      </w:r>
    </w:p>
    <w:p>
      <w:pPr>
        <w:adjustRightInd w:val="0"/>
        <w:snapToGrid w:val="0"/>
        <w:spacing w:line="500" w:lineRule="exact"/>
        <w:ind w:firstLine="480" w:firstLineChars="200"/>
        <w:rPr>
          <w:rFonts w:hAnsi="宋体"/>
          <w:bCs/>
          <w:snapToGrid w:val="0"/>
          <w:sz w:val="24"/>
        </w:rPr>
      </w:pPr>
      <w:r>
        <w:rPr>
          <w:rFonts w:hAnsi="宋体"/>
          <w:bCs/>
          <w:sz w:val="24"/>
        </w:rPr>
        <mc:AlternateContent>
          <mc:Choice Requires="wpg">
            <w:drawing>
              <wp:anchor distT="0" distB="0" distL="114300" distR="114300" simplePos="0" relativeHeight="251815936" behindDoc="0" locked="0" layoutInCell="1" allowOverlap="1">
                <wp:simplePos x="0" y="0"/>
                <wp:positionH relativeFrom="column">
                  <wp:posOffset>-257810</wp:posOffset>
                </wp:positionH>
                <wp:positionV relativeFrom="paragraph">
                  <wp:posOffset>9525</wp:posOffset>
                </wp:positionV>
                <wp:extent cx="5887085" cy="7623175"/>
                <wp:effectExtent l="8890" t="0" r="9525" b="9525"/>
                <wp:wrapNone/>
                <wp:docPr id="4" name="Group 908"/>
                <wp:cNvGraphicFramePr/>
                <a:graphic xmlns:a="http://schemas.openxmlformats.org/drawingml/2006/main">
                  <a:graphicData uri="http://schemas.microsoft.com/office/word/2010/wordprocessingGroup">
                    <wpg:wgp>
                      <wpg:cNvGrpSpPr/>
                      <wpg:grpSpPr>
                        <a:xfrm>
                          <a:off x="0" y="0"/>
                          <a:ext cx="5887085" cy="7623175"/>
                          <a:chOff x="1394" y="1515"/>
                          <a:chExt cx="9271" cy="12005"/>
                        </a:xfrm>
                      </wpg:grpSpPr>
                      <wpg:grpSp>
                        <wpg:cNvPr id="5" name="Group 909"/>
                        <wpg:cNvGrpSpPr/>
                        <wpg:grpSpPr>
                          <a:xfrm>
                            <a:off x="1394" y="1515"/>
                            <a:ext cx="9271" cy="12005"/>
                            <a:chOff x="1555" y="1850"/>
                            <a:chExt cx="9109" cy="11670"/>
                          </a:xfrm>
                        </wpg:grpSpPr>
                        <wpg:grpSp>
                          <wpg:cNvPr id="6" name="Group 910"/>
                          <wpg:cNvGrpSpPr/>
                          <wpg:grpSpPr>
                            <a:xfrm>
                              <a:off x="1555" y="1850"/>
                              <a:ext cx="9109" cy="11670"/>
                              <a:chOff x="1701" y="2271"/>
                              <a:chExt cx="10356" cy="12249"/>
                            </a:xfrm>
                          </wpg:grpSpPr>
                          <wps:wsp>
                            <wps:cNvPr id="7" name="直线 71"/>
                            <wps:cNvCnPr>
                              <a:cxnSpLocks noChangeShapeType="1"/>
                            </wps:cNvCnPr>
                            <wps:spPr bwMode="auto">
                              <a:xfrm flipH="1">
                                <a:off x="2757" y="5139"/>
                                <a:ext cx="0" cy="378"/>
                              </a:xfrm>
                              <a:prstGeom prst="line">
                                <a:avLst/>
                              </a:prstGeom>
                              <a:noFill/>
                              <a:ln w="9525">
                                <a:solidFill>
                                  <a:srgbClr val="000000"/>
                                </a:solidFill>
                                <a:round/>
                                <a:tailEnd type="triangle" w="med" len="med"/>
                              </a:ln>
                            </wps:spPr>
                            <wps:bodyPr/>
                          </wps:wsp>
                          <wpg:grpSp>
                            <wpg:cNvPr id="8" name="Group 912"/>
                            <wpg:cNvGrpSpPr/>
                            <wpg:grpSpPr>
                              <a:xfrm>
                                <a:off x="1701" y="2271"/>
                                <a:ext cx="10356" cy="12249"/>
                                <a:chOff x="1251" y="2271"/>
                                <a:chExt cx="10356" cy="12249"/>
                              </a:xfrm>
                            </wpg:grpSpPr>
                            <wps:wsp>
                              <wps:cNvPr id="9" name="直线 69"/>
                              <wps:cNvCnPr>
                                <a:cxnSpLocks noChangeShapeType="1"/>
                              </wps:cNvCnPr>
                              <wps:spPr bwMode="auto">
                                <a:xfrm flipV="1">
                                  <a:off x="2907" y="4743"/>
                                  <a:ext cx="795" cy="0"/>
                                </a:xfrm>
                                <a:prstGeom prst="line">
                                  <a:avLst/>
                                </a:prstGeom>
                                <a:noFill/>
                                <a:ln w="9525">
                                  <a:solidFill>
                                    <a:srgbClr val="000000"/>
                                  </a:solidFill>
                                  <a:round/>
                                  <a:tailEnd type="triangle" w="med" len="med"/>
                                </a:ln>
                              </wps:spPr>
                              <wps:bodyPr/>
                            </wps:wsp>
                            <wpg:grpSp>
                              <wpg:cNvPr id="10" name="Group 914"/>
                              <wpg:cNvGrpSpPr/>
                              <wpg:grpSpPr>
                                <a:xfrm>
                                  <a:off x="1251" y="2271"/>
                                  <a:ext cx="10356" cy="12249"/>
                                  <a:chOff x="1251" y="2271"/>
                                  <a:chExt cx="10356" cy="12249"/>
                                </a:xfrm>
                              </wpg:grpSpPr>
                              <wps:wsp>
                                <wps:cNvPr id="11" name="自选图形 70"/>
                                <wps:cNvSpPr>
                                  <a:spLocks noChangeArrowheads="1"/>
                                </wps:cNvSpPr>
                                <wps:spPr bwMode="auto">
                                  <a:xfrm>
                                    <a:off x="1761" y="4356"/>
                                    <a:ext cx="1131" cy="783"/>
                                  </a:xfrm>
                                  <a:prstGeom prst="flowChartDecision">
                                    <a:avLst/>
                                  </a:prstGeom>
                                  <a:solidFill>
                                    <a:srgbClr val="FFFFFF"/>
                                  </a:solidFill>
                                  <a:ln w="9525">
                                    <a:solidFill>
                                      <a:srgbClr val="000000"/>
                                    </a:solidFill>
                                    <a:miter lim="800000"/>
                                  </a:ln>
                                </wps:spPr>
                                <wps:txbx>
                                  <w:txbxContent>
                                    <w:p/>
                                  </w:txbxContent>
                                </wps:txbx>
                                <wps:bodyPr rot="0" vert="horz" wrap="square" lIns="91440" tIns="45720" rIns="91440" bIns="45720" anchor="t" anchorCtr="0" upright="1">
                                  <a:noAutofit/>
                                </wps:bodyPr>
                              </wps:wsp>
                              <wpg:grpSp>
                                <wpg:cNvPr id="12" name="Group 916"/>
                                <wpg:cNvGrpSpPr/>
                                <wpg:grpSpPr>
                                  <a:xfrm>
                                    <a:off x="1251" y="2271"/>
                                    <a:ext cx="10356" cy="12249"/>
                                    <a:chOff x="1251" y="2271"/>
                                    <a:chExt cx="10356" cy="12249"/>
                                  </a:xfrm>
                                </wpg:grpSpPr>
                                <wps:wsp>
                                  <wps:cNvPr id="13" name="自选图形 72"/>
                                  <wps:cNvSpPr>
                                    <a:spLocks noChangeArrowheads="1"/>
                                  </wps:cNvSpPr>
                                  <wps:spPr bwMode="auto">
                                    <a:xfrm>
                                      <a:off x="1716" y="7146"/>
                                      <a:ext cx="1131" cy="783"/>
                                    </a:xfrm>
                                    <a:prstGeom prst="flowChartDecision">
                                      <a:avLst/>
                                    </a:prstGeom>
                                    <a:solidFill>
                                      <a:srgbClr val="FFFFFF"/>
                                    </a:solidFill>
                                    <a:ln w="9525">
                                      <a:solidFill>
                                        <a:srgbClr val="000000"/>
                                      </a:solidFill>
                                      <a:miter lim="800000"/>
                                    </a:ln>
                                  </wps:spPr>
                                  <wps:txbx>
                                    <w:txbxContent>
                                      <w:p/>
                                    </w:txbxContent>
                                  </wps:txbx>
                                  <wps:bodyPr rot="0" vert="horz" wrap="square" lIns="91440" tIns="45720" rIns="91440" bIns="45720" anchor="t" anchorCtr="0" upright="1">
                                    <a:noAutofit/>
                                  </wps:bodyPr>
                                </wps:wsp>
                                <wps:wsp>
                                  <wps:cNvPr id="14" name="直线 73"/>
                                  <wps:cNvCnPr>
                                    <a:cxnSpLocks noChangeShapeType="1"/>
                                  </wps:cNvCnPr>
                                  <wps:spPr bwMode="auto">
                                    <a:xfrm>
                                      <a:off x="2862" y="7515"/>
                                      <a:ext cx="1815" cy="0"/>
                                    </a:xfrm>
                                    <a:prstGeom prst="line">
                                      <a:avLst/>
                                    </a:prstGeom>
                                    <a:noFill/>
                                    <a:ln w="9525">
                                      <a:solidFill>
                                        <a:srgbClr val="000000"/>
                                      </a:solidFill>
                                      <a:round/>
                                      <a:tailEnd type="triangle" w="med" len="med"/>
                                    </a:ln>
                                  </wps:spPr>
                                  <wps:bodyPr/>
                                </wps:wsp>
                                <wpg:grpSp>
                                  <wpg:cNvPr id="15" name="Group 919"/>
                                  <wpg:cNvGrpSpPr/>
                                  <wpg:grpSpPr>
                                    <a:xfrm>
                                      <a:off x="1251" y="2271"/>
                                      <a:ext cx="10356" cy="12249"/>
                                      <a:chOff x="1251" y="2271"/>
                                      <a:chExt cx="10356" cy="12249"/>
                                    </a:xfrm>
                                  </wpg:grpSpPr>
                                  <wps:wsp>
                                    <wps:cNvPr id="16" name="Text Box 920"/>
                                    <wps:cNvSpPr txBox="1">
                                      <a:spLocks noChangeArrowheads="1"/>
                                    </wps:cNvSpPr>
                                    <wps:spPr bwMode="auto">
                                      <a:xfrm>
                                        <a:off x="5367" y="2271"/>
                                        <a:ext cx="1260" cy="468"/>
                                      </a:xfrm>
                                      <a:prstGeom prst="rect">
                                        <a:avLst/>
                                      </a:prstGeom>
                                      <a:noFill/>
                                      <a:ln>
                                        <a:noFill/>
                                      </a:ln>
                                    </wps:spPr>
                                    <wps:txbx>
                                      <w:txbxContent>
                                        <w:p>
                                          <w:pPr>
                                            <w:rPr>
                                              <w:b/>
                                              <w:bCs/>
                                              <w:color w:val="FFFFFF"/>
                                              <w:sz w:val="18"/>
                                              <w:szCs w:val="18"/>
                                            </w:rPr>
                                          </w:pPr>
                                          <w:r>
                                            <w:rPr>
                                              <w:b/>
                                              <w:bCs/>
                                              <w:color w:val="FFFFFF"/>
                                              <w:sz w:val="18"/>
                                              <w:szCs w:val="18"/>
                                            </w:rPr>
                                            <w:t>事故发生</w:t>
                                          </w:r>
                                        </w:p>
                                      </w:txbxContent>
                                    </wps:txbx>
                                    <wps:bodyPr rot="0" vert="horz" wrap="square" lIns="91440" tIns="45720" rIns="91440" bIns="45720" anchor="t" anchorCtr="0" upright="1">
                                      <a:noAutofit/>
                                    </wps:bodyPr>
                                  </wps:wsp>
                                  <wps:wsp>
                                    <wps:cNvPr id="17" name="Text Box 921"/>
                                    <wps:cNvSpPr txBox="1">
                                      <a:spLocks noChangeArrowheads="1"/>
                                    </wps:cNvSpPr>
                                    <wps:spPr bwMode="auto">
                                      <a:xfrm>
                                        <a:off x="1701" y="2874"/>
                                        <a:ext cx="1236" cy="468"/>
                                      </a:xfrm>
                                      <a:prstGeom prst="rect">
                                        <a:avLst/>
                                      </a:prstGeom>
                                      <a:solidFill>
                                        <a:srgbClr val="FF0000"/>
                                      </a:solidFill>
                                      <a:ln>
                                        <a:noFill/>
                                      </a:ln>
                                    </wps:spPr>
                                    <wps:txbx>
                                      <w:txbxContent>
                                        <w:p>
                                          <w:pPr>
                                            <w:adjustRightInd w:val="0"/>
                                            <w:snapToGrid w:val="0"/>
                                            <w:jc w:val="center"/>
                                            <w:rPr>
                                              <w:b/>
                                              <w:bCs/>
                                              <w:color w:val="FFFFFF"/>
                                            </w:rPr>
                                          </w:pPr>
                                          <w:r>
                                            <w:rPr>
                                              <w:rFonts w:hint="eastAsia"/>
                                              <w:b/>
                                              <w:bCs/>
                                              <w:color w:val="FFFFFF"/>
                                              <w:sz w:val="20"/>
                                            </w:rPr>
                                            <w:t>车间级</w:t>
                                          </w:r>
                                        </w:p>
                                      </w:txbxContent>
                                    </wps:txbx>
                                    <wps:bodyPr rot="0" vert="horz" wrap="square" lIns="91440" tIns="45720" rIns="91440" bIns="45720" anchor="t" anchorCtr="0" upright="1">
                                      <a:noAutofit/>
                                    </wps:bodyPr>
                                  </wps:wsp>
                                  <wps:wsp>
                                    <wps:cNvPr id="18" name="文本框 52"/>
                                    <wps:cNvSpPr txBox="1">
                                      <a:spLocks noChangeArrowheads="1"/>
                                    </wps:cNvSpPr>
                                    <wps:spPr bwMode="auto">
                                      <a:xfrm>
                                        <a:off x="5232" y="2865"/>
                                        <a:ext cx="1260" cy="468"/>
                                      </a:xfrm>
                                      <a:prstGeom prst="rect">
                                        <a:avLst/>
                                      </a:prstGeom>
                                      <a:solidFill>
                                        <a:srgbClr val="FF0000"/>
                                      </a:solidFill>
                                      <a:ln>
                                        <a:noFill/>
                                      </a:ln>
                                    </wps:spPr>
                                    <wps:txbx>
                                      <w:txbxContent>
                                        <w:p>
                                          <w:pPr>
                                            <w:jc w:val="center"/>
                                            <w:rPr>
                                              <w:b/>
                                              <w:bCs/>
                                              <w:color w:val="FFFFFF"/>
                                              <w:sz w:val="20"/>
                                            </w:rPr>
                                          </w:pPr>
                                          <w:r>
                                            <w:rPr>
                                              <w:rFonts w:hint="eastAsia"/>
                                              <w:b/>
                                              <w:bCs/>
                                              <w:color w:val="FFFFFF"/>
                                              <w:sz w:val="20"/>
                                            </w:rPr>
                                            <w:t>公司级</w:t>
                                          </w:r>
                                        </w:p>
                                      </w:txbxContent>
                                    </wps:txbx>
                                    <wps:bodyPr rot="0" vert="horz" wrap="square" lIns="91440" tIns="45720" rIns="91440" bIns="45720" anchor="t" anchorCtr="0" upright="1">
                                      <a:noAutofit/>
                                    </wps:bodyPr>
                                  </wps:wsp>
                                  <wps:wsp>
                                    <wps:cNvPr id="19" name="Text Box 923"/>
                                    <wps:cNvSpPr txBox="1">
                                      <a:spLocks noChangeArrowheads="1"/>
                                    </wps:cNvSpPr>
                                    <wps:spPr bwMode="auto">
                                      <a:xfrm>
                                        <a:off x="8622" y="2850"/>
                                        <a:ext cx="1260" cy="468"/>
                                      </a:xfrm>
                                      <a:prstGeom prst="rect">
                                        <a:avLst/>
                                      </a:prstGeom>
                                      <a:solidFill>
                                        <a:srgbClr val="FF0000"/>
                                      </a:solidFill>
                                      <a:ln>
                                        <a:noFill/>
                                      </a:ln>
                                    </wps:spPr>
                                    <wps:txbx>
                                      <w:txbxContent>
                                        <w:p>
                                          <w:pPr>
                                            <w:jc w:val="center"/>
                                            <w:rPr>
                                              <w:b/>
                                              <w:bCs/>
                                              <w:color w:val="FFFFFF"/>
                                              <w:sz w:val="20"/>
                                            </w:rPr>
                                          </w:pPr>
                                          <w:r>
                                            <w:rPr>
                                              <w:rFonts w:hint="eastAsia"/>
                                              <w:b/>
                                              <w:bCs/>
                                              <w:color w:val="FFFFFF"/>
                                              <w:sz w:val="20"/>
                                            </w:rPr>
                                            <w:t>社会级</w:t>
                                          </w:r>
                                        </w:p>
                                      </w:txbxContent>
                                    </wps:txbx>
                                    <wps:bodyPr rot="0" vert="horz" wrap="square" lIns="91440" tIns="45720" rIns="91440" bIns="45720" anchor="t" anchorCtr="0" upright="1">
                                      <a:noAutofit/>
                                    </wps:bodyPr>
                                  </wps:wsp>
                                  <wps:wsp>
                                    <wps:cNvPr id="20" name="文本框 54"/>
                                    <wps:cNvSpPr txBox="1">
                                      <a:spLocks noChangeArrowheads="1"/>
                                    </wps:cNvSpPr>
                                    <wps:spPr bwMode="auto">
                                      <a:xfrm>
                                        <a:off x="1701" y="3642"/>
                                        <a:ext cx="1236" cy="450"/>
                                      </a:xfrm>
                                      <a:prstGeom prst="rect">
                                        <a:avLst/>
                                      </a:prstGeom>
                                      <a:solidFill>
                                        <a:srgbClr val="FFFFFF"/>
                                      </a:solidFill>
                                      <a:ln w="9525">
                                        <a:solidFill>
                                          <a:srgbClr val="000000"/>
                                        </a:solidFill>
                                        <a:miter lim="800000"/>
                                      </a:ln>
                                    </wps:spPr>
                                    <wps:txbx>
                                      <w:txbxContent>
                                        <w:p>
                                          <w:pPr>
                                            <w:jc w:val="center"/>
                                            <w:rPr>
                                              <w:sz w:val="18"/>
                                            </w:rPr>
                                          </w:pPr>
                                          <w:r>
                                            <w:rPr>
                                              <w:sz w:val="18"/>
                                            </w:rPr>
                                            <w:t>现场处置</w:t>
                                          </w:r>
                                        </w:p>
                                      </w:txbxContent>
                                    </wps:txbx>
                                    <wps:bodyPr rot="0" vert="horz" wrap="square" lIns="91440" tIns="45720" rIns="91440" bIns="45720" anchor="t" anchorCtr="0" upright="1">
                                      <a:noAutofit/>
                                    </wps:bodyPr>
                                  </wps:wsp>
                                  <wps:wsp>
                                    <wps:cNvPr id="21" name="Text Box 925"/>
                                    <wps:cNvSpPr txBox="1">
                                      <a:spLocks noChangeArrowheads="1"/>
                                    </wps:cNvSpPr>
                                    <wps:spPr bwMode="auto">
                                      <a:xfrm>
                                        <a:off x="1431" y="5547"/>
                                        <a:ext cx="1791" cy="468"/>
                                      </a:xfrm>
                                      <a:prstGeom prst="rect">
                                        <a:avLst/>
                                      </a:prstGeom>
                                      <a:solidFill>
                                        <a:srgbClr val="FFFFFF"/>
                                      </a:solidFill>
                                      <a:ln w="9525">
                                        <a:solidFill>
                                          <a:srgbClr val="000000"/>
                                        </a:solidFill>
                                        <a:miter lim="800000"/>
                                      </a:ln>
                                    </wps:spPr>
                                    <wps:txbx>
                                      <w:txbxContent>
                                        <w:p>
                                          <w:pPr>
                                            <w:jc w:val="center"/>
                                          </w:pPr>
                                          <w:r>
                                            <w:rPr>
                                              <w:sz w:val="18"/>
                                            </w:rPr>
                                            <w:t>对应现场负责</w:t>
                                          </w:r>
                                          <w:r>
                                            <w:t>人</w:t>
                                          </w:r>
                                        </w:p>
                                      </w:txbxContent>
                                    </wps:txbx>
                                    <wps:bodyPr rot="0" vert="horz" wrap="square" lIns="91440" tIns="45720" rIns="91440" bIns="45720" anchor="t" anchorCtr="0" upright="1">
                                      <a:noAutofit/>
                                    </wps:bodyPr>
                                  </wps:wsp>
                                  <wps:wsp>
                                    <wps:cNvPr id="22" name="文本框 56"/>
                                    <wps:cNvSpPr txBox="1">
                                      <a:spLocks noChangeArrowheads="1"/>
                                    </wps:cNvSpPr>
                                    <wps:spPr bwMode="auto">
                                      <a:xfrm>
                                        <a:off x="4692" y="7242"/>
                                        <a:ext cx="2100" cy="468"/>
                                      </a:xfrm>
                                      <a:prstGeom prst="rect">
                                        <a:avLst/>
                                      </a:prstGeom>
                                      <a:solidFill>
                                        <a:srgbClr val="FFFFFF"/>
                                      </a:solidFill>
                                      <a:ln w="9525">
                                        <a:solidFill>
                                          <a:srgbClr val="000000"/>
                                        </a:solidFill>
                                        <a:miter lim="800000"/>
                                      </a:ln>
                                    </wps:spPr>
                                    <wps:txbx>
                                      <w:txbxContent>
                                        <w:p>
                                          <w:pPr>
                                            <w:jc w:val="center"/>
                                          </w:pPr>
                                          <w:r>
                                            <w:rPr>
                                              <w:rFonts w:hint="eastAsia"/>
                                              <w:sz w:val="18"/>
                                            </w:rPr>
                                            <w:t>上报</w:t>
                                          </w:r>
                                          <w:r>
                                            <w:rPr>
                                              <w:sz w:val="18"/>
                                            </w:rPr>
                                            <w:t>应急指挥</w:t>
                                          </w:r>
                                          <w:r>
                                            <w:rPr>
                                              <w:rFonts w:hint="eastAsia"/>
                                              <w:sz w:val="18"/>
                                            </w:rPr>
                                            <w:t>部</w:t>
                                          </w:r>
                                        </w:p>
                                      </w:txbxContent>
                                    </wps:txbx>
                                    <wps:bodyPr rot="0" vert="horz" wrap="square" lIns="91440" tIns="45720" rIns="91440" bIns="45720" anchor="t" anchorCtr="0" upright="1">
                                      <a:noAutofit/>
                                    </wps:bodyPr>
                                  </wps:wsp>
                                  <wps:wsp>
                                    <wps:cNvPr id="23" name="Text Box 927"/>
                                    <wps:cNvSpPr txBox="1">
                                      <a:spLocks noChangeArrowheads="1"/>
                                    </wps:cNvSpPr>
                                    <wps:spPr bwMode="auto">
                                      <a:xfrm>
                                        <a:off x="3687" y="4377"/>
                                        <a:ext cx="2070" cy="813"/>
                                      </a:xfrm>
                                      <a:prstGeom prst="rect">
                                        <a:avLst/>
                                      </a:prstGeom>
                                      <a:solidFill>
                                        <a:srgbClr val="FFFFFF"/>
                                      </a:solidFill>
                                      <a:ln w="9525">
                                        <a:solidFill>
                                          <a:srgbClr val="000000"/>
                                        </a:solidFill>
                                        <a:miter lim="800000"/>
                                      </a:ln>
                                    </wps:spPr>
                                    <wps:txbx>
                                      <w:txbxContent>
                                        <w:p>
                                          <w:pPr>
                                            <w:jc w:val="center"/>
                                            <w:rPr>
                                              <w:sz w:val="18"/>
                                            </w:rPr>
                                          </w:pPr>
                                          <w:r>
                                            <w:rPr>
                                              <w:sz w:val="18"/>
                                            </w:rPr>
                                            <w:t>情况上报到</w:t>
                                          </w:r>
                                          <w:r>
                                            <w:rPr>
                                              <w:rFonts w:hint="eastAsia"/>
                                              <w:sz w:val="18"/>
                                            </w:rPr>
                                            <w:t>应急指挥部副总指挥</w:t>
                                          </w:r>
                                        </w:p>
                                      </w:txbxContent>
                                    </wps:txbx>
                                    <wps:bodyPr rot="0" vert="horz" wrap="square" lIns="91440" tIns="45720" rIns="91440" bIns="45720" anchor="t" anchorCtr="0" upright="1">
                                      <a:noAutofit/>
                                    </wps:bodyPr>
                                  </wps:wsp>
                                  <wps:wsp>
                                    <wps:cNvPr id="24" name="Text Box 928"/>
                                    <wps:cNvSpPr txBox="1">
                                      <a:spLocks noChangeArrowheads="1"/>
                                    </wps:cNvSpPr>
                                    <wps:spPr bwMode="auto">
                                      <a:xfrm>
                                        <a:off x="1416" y="6348"/>
                                        <a:ext cx="1821" cy="462"/>
                                      </a:xfrm>
                                      <a:prstGeom prst="rect">
                                        <a:avLst/>
                                      </a:prstGeom>
                                      <a:solidFill>
                                        <a:srgbClr val="FFFFFF"/>
                                      </a:solidFill>
                                      <a:ln w="9525">
                                        <a:solidFill>
                                          <a:srgbClr val="000000"/>
                                        </a:solidFill>
                                        <a:miter lim="800000"/>
                                      </a:ln>
                                    </wps:spPr>
                                    <wps:txbx>
                                      <w:txbxContent>
                                        <w:p>
                                          <w:pPr>
                                            <w:jc w:val="center"/>
                                            <w:rPr>
                                              <w:sz w:val="18"/>
                                            </w:rPr>
                                          </w:pPr>
                                          <w:r>
                                            <w:rPr>
                                              <w:sz w:val="18"/>
                                            </w:rPr>
                                            <w:t>处置、救援</w:t>
                                          </w:r>
                                        </w:p>
                                      </w:txbxContent>
                                    </wps:txbx>
                                    <wps:bodyPr rot="0" vert="horz" wrap="square" lIns="91440" tIns="45720" rIns="91440" bIns="45720" anchor="t" anchorCtr="0" upright="1">
                                      <a:noAutofit/>
                                    </wps:bodyPr>
                                  </wps:wsp>
                                  <wps:wsp>
                                    <wps:cNvPr id="25" name="文本框 59"/>
                                    <wps:cNvSpPr txBox="1">
                                      <a:spLocks noChangeArrowheads="1"/>
                                    </wps:cNvSpPr>
                                    <wps:spPr bwMode="auto">
                                      <a:xfrm>
                                        <a:off x="8622" y="11292"/>
                                        <a:ext cx="1260" cy="468"/>
                                      </a:xfrm>
                                      <a:prstGeom prst="rect">
                                        <a:avLst/>
                                      </a:prstGeom>
                                      <a:solidFill>
                                        <a:srgbClr val="FFFFFF"/>
                                      </a:solidFill>
                                      <a:ln w="9525">
                                        <a:solidFill>
                                          <a:srgbClr val="000000"/>
                                        </a:solidFill>
                                        <a:miter lim="800000"/>
                                      </a:ln>
                                    </wps:spPr>
                                    <wps:txbx>
                                      <w:txbxContent>
                                        <w:p>
                                          <w:pPr>
                                            <w:rPr>
                                              <w:sz w:val="18"/>
                                              <w:szCs w:val="18"/>
                                            </w:rPr>
                                          </w:pPr>
                                          <w:r>
                                            <w:rPr>
                                              <w:sz w:val="18"/>
                                              <w:szCs w:val="18"/>
                                            </w:rPr>
                                            <w:t>外部救援</w:t>
                                          </w:r>
                                        </w:p>
                                      </w:txbxContent>
                                    </wps:txbx>
                                    <wps:bodyPr rot="0" vert="horz" wrap="square" lIns="91440" tIns="45720" rIns="91440" bIns="45720" anchor="t" anchorCtr="0" upright="1">
                                      <a:noAutofit/>
                                    </wps:bodyPr>
                                  </wps:wsp>
                                  <wps:wsp>
                                    <wps:cNvPr id="26" name="Text Box 930"/>
                                    <wps:cNvSpPr txBox="1">
                                      <a:spLocks noChangeArrowheads="1"/>
                                    </wps:cNvSpPr>
                                    <wps:spPr bwMode="auto">
                                      <a:xfrm>
                                        <a:off x="4677" y="9582"/>
                                        <a:ext cx="2130" cy="468"/>
                                      </a:xfrm>
                                      <a:prstGeom prst="rect">
                                        <a:avLst/>
                                      </a:prstGeom>
                                      <a:solidFill>
                                        <a:srgbClr val="FFFFFF"/>
                                      </a:solidFill>
                                      <a:ln w="9525">
                                        <a:solidFill>
                                          <a:srgbClr val="000000"/>
                                        </a:solidFill>
                                        <a:miter lim="800000"/>
                                      </a:ln>
                                    </wps:spPr>
                                    <wps:txbx>
                                      <w:txbxContent>
                                        <w:p>
                                          <w:pPr>
                                            <w:jc w:val="center"/>
                                            <w:rPr>
                                              <w:sz w:val="18"/>
                                            </w:rPr>
                                          </w:pPr>
                                          <w:r>
                                            <w:rPr>
                                              <w:sz w:val="18"/>
                                            </w:rPr>
                                            <w:t>处置救援</w:t>
                                          </w:r>
                                        </w:p>
                                      </w:txbxContent>
                                    </wps:txbx>
                                    <wps:bodyPr rot="0" vert="horz" wrap="square" lIns="91440" tIns="45720" rIns="91440" bIns="45720" anchor="t" anchorCtr="0" upright="1">
                                      <a:noAutofit/>
                                    </wps:bodyPr>
                                  </wps:wsp>
                                  <wps:wsp>
                                    <wps:cNvPr id="27" name="文本框 61"/>
                                    <wps:cNvSpPr txBox="1">
                                      <a:spLocks noChangeArrowheads="1"/>
                                    </wps:cNvSpPr>
                                    <wps:spPr bwMode="auto">
                                      <a:xfrm>
                                        <a:off x="4677" y="8862"/>
                                        <a:ext cx="2130" cy="468"/>
                                      </a:xfrm>
                                      <a:prstGeom prst="rect">
                                        <a:avLst/>
                                      </a:prstGeom>
                                      <a:solidFill>
                                        <a:srgbClr val="FFFFFF"/>
                                      </a:solidFill>
                                      <a:ln w="9525">
                                        <a:solidFill>
                                          <a:srgbClr val="000000"/>
                                        </a:solidFill>
                                        <a:miter lim="800000"/>
                                      </a:ln>
                                    </wps:spPr>
                                    <wps:txbx>
                                      <w:txbxContent>
                                        <w:p>
                                          <w:pPr>
                                            <w:jc w:val="center"/>
                                            <w:rPr>
                                              <w:sz w:val="18"/>
                                              <w:szCs w:val="18"/>
                                            </w:rPr>
                                          </w:pPr>
                                          <w:r>
                                            <w:rPr>
                                              <w:sz w:val="18"/>
                                              <w:szCs w:val="18"/>
                                            </w:rPr>
                                            <w:t>立即赶赴事故现场</w:t>
                                          </w:r>
                                        </w:p>
                                      </w:txbxContent>
                                    </wps:txbx>
                                    <wps:bodyPr rot="0" vert="horz" wrap="square" lIns="91440" tIns="45720" rIns="91440" bIns="45720" anchor="t" anchorCtr="0" upright="1">
                                      <a:noAutofit/>
                                    </wps:bodyPr>
                                  </wps:wsp>
                                  <wps:wsp>
                                    <wps:cNvPr id="28" name="Text Box 932"/>
                                    <wps:cNvSpPr txBox="1">
                                      <a:spLocks noChangeArrowheads="1"/>
                                    </wps:cNvSpPr>
                                    <wps:spPr bwMode="auto">
                                      <a:xfrm>
                                        <a:off x="4662" y="8067"/>
                                        <a:ext cx="2160" cy="468"/>
                                      </a:xfrm>
                                      <a:prstGeom prst="rect">
                                        <a:avLst/>
                                      </a:prstGeom>
                                      <a:solidFill>
                                        <a:srgbClr val="FFFFFF"/>
                                      </a:solidFill>
                                      <a:ln w="9525">
                                        <a:solidFill>
                                          <a:srgbClr val="000000"/>
                                        </a:solidFill>
                                        <a:miter lim="800000"/>
                                      </a:ln>
                                    </wps:spPr>
                                    <wps:txbx>
                                      <w:txbxContent>
                                        <w:p>
                                          <w:pPr>
                                            <w:jc w:val="center"/>
                                            <w:rPr>
                                              <w:sz w:val="18"/>
                                            </w:rPr>
                                          </w:pPr>
                                          <w:r>
                                            <w:rPr>
                                              <w:sz w:val="18"/>
                                            </w:rPr>
                                            <w:t>各应急小组</w:t>
                                          </w:r>
                                        </w:p>
                                      </w:txbxContent>
                                    </wps:txbx>
                                    <wps:bodyPr rot="0" vert="horz" wrap="square" lIns="91440" tIns="45720" rIns="91440" bIns="45720" anchor="t" anchorCtr="0" upright="1">
                                      <a:noAutofit/>
                                    </wps:bodyPr>
                                  </wps:wsp>
                                  <wps:wsp>
                                    <wps:cNvPr id="29" name="文本框 63"/>
                                    <wps:cNvSpPr txBox="1">
                                      <a:spLocks noChangeArrowheads="1"/>
                                    </wps:cNvSpPr>
                                    <wps:spPr bwMode="auto">
                                      <a:xfrm>
                                        <a:off x="8652" y="12072"/>
                                        <a:ext cx="1215" cy="468"/>
                                      </a:xfrm>
                                      <a:prstGeom prst="rect">
                                        <a:avLst/>
                                      </a:prstGeom>
                                      <a:solidFill>
                                        <a:srgbClr val="FFFFFF"/>
                                      </a:solidFill>
                                      <a:ln w="9525">
                                        <a:solidFill>
                                          <a:srgbClr val="000000"/>
                                        </a:solidFill>
                                        <a:miter lim="800000"/>
                                      </a:ln>
                                    </wps:spPr>
                                    <wps:txbx>
                                      <w:txbxContent>
                                        <w:p>
                                          <w:pPr>
                                            <w:rPr>
                                              <w:sz w:val="18"/>
                                              <w:szCs w:val="18"/>
                                            </w:rPr>
                                          </w:pPr>
                                          <w:r>
                                            <w:rPr>
                                              <w:sz w:val="18"/>
                                              <w:szCs w:val="18"/>
                                            </w:rPr>
                                            <w:t>救援成功</w:t>
                                          </w:r>
                                        </w:p>
                                      </w:txbxContent>
                                    </wps:txbx>
                                    <wps:bodyPr rot="0" vert="horz" wrap="square" lIns="91440" tIns="45720" rIns="91440" bIns="45720" anchor="t" anchorCtr="0" upright="1">
                                      <a:noAutofit/>
                                    </wps:bodyPr>
                                  </wps:wsp>
                                  <wps:wsp>
                                    <wps:cNvPr id="30" name="Text Box 934"/>
                                    <wps:cNvSpPr txBox="1">
                                      <a:spLocks noChangeArrowheads="1"/>
                                    </wps:cNvSpPr>
                                    <wps:spPr bwMode="auto">
                                      <a:xfrm>
                                        <a:off x="10347" y="11292"/>
                                        <a:ext cx="1260" cy="468"/>
                                      </a:xfrm>
                                      <a:prstGeom prst="rect">
                                        <a:avLst/>
                                      </a:prstGeom>
                                      <a:solidFill>
                                        <a:srgbClr val="FFFFFF"/>
                                      </a:solidFill>
                                      <a:ln w="9525">
                                        <a:solidFill>
                                          <a:srgbClr val="000000"/>
                                        </a:solidFill>
                                        <a:miter lim="800000"/>
                                      </a:ln>
                                    </wps:spPr>
                                    <wps:txbx>
                                      <w:txbxContent>
                                        <w:p>
                                          <w:pPr>
                                            <w:jc w:val="center"/>
                                            <w:rPr>
                                              <w:sz w:val="18"/>
                                              <w:szCs w:val="18"/>
                                            </w:rPr>
                                          </w:pPr>
                                          <w:r>
                                            <w:rPr>
                                              <w:sz w:val="18"/>
                                              <w:szCs w:val="18"/>
                                            </w:rPr>
                                            <w:t>政府协助</w:t>
                                          </w:r>
                                        </w:p>
                                      </w:txbxContent>
                                    </wps:txbx>
                                    <wps:bodyPr rot="0" vert="horz" wrap="square" lIns="91440" tIns="45720" rIns="91440" bIns="45720" anchor="t" anchorCtr="0" upright="1">
                                      <a:noAutofit/>
                                    </wps:bodyPr>
                                  </wps:wsp>
                                  <wps:wsp>
                                    <wps:cNvPr id="31" name="Text Box 935"/>
                                    <wps:cNvSpPr txBox="1">
                                      <a:spLocks noChangeArrowheads="1"/>
                                    </wps:cNvSpPr>
                                    <wps:spPr bwMode="auto">
                                      <a:xfrm>
                                        <a:off x="6897" y="11307"/>
                                        <a:ext cx="1260" cy="468"/>
                                      </a:xfrm>
                                      <a:prstGeom prst="rect">
                                        <a:avLst/>
                                      </a:prstGeom>
                                      <a:solidFill>
                                        <a:srgbClr val="FFFFFF"/>
                                      </a:solidFill>
                                      <a:ln w="9525">
                                        <a:solidFill>
                                          <a:srgbClr val="000000"/>
                                        </a:solidFill>
                                        <a:miter lim="800000"/>
                                      </a:ln>
                                    </wps:spPr>
                                    <wps:txbx>
                                      <w:txbxContent>
                                        <w:p>
                                          <w:pPr>
                                            <w:jc w:val="center"/>
                                            <w:rPr>
                                              <w:sz w:val="18"/>
                                              <w:szCs w:val="18"/>
                                            </w:rPr>
                                          </w:pPr>
                                          <w:r>
                                            <w:rPr>
                                              <w:sz w:val="18"/>
                                              <w:szCs w:val="18"/>
                                            </w:rPr>
                                            <w:t>公司救援</w:t>
                                          </w:r>
                                        </w:p>
                                      </w:txbxContent>
                                    </wps:txbx>
                                    <wps:bodyPr rot="0" vert="horz" wrap="square" lIns="91440" tIns="45720" rIns="91440" bIns="45720" anchor="t" anchorCtr="0" upright="1">
                                      <a:noAutofit/>
                                    </wps:bodyPr>
                                  </wps:wsp>
                                  <wps:wsp>
                                    <wps:cNvPr id="32" name="文本框 66"/>
                                    <wps:cNvSpPr txBox="1">
                                      <a:spLocks noChangeArrowheads="1"/>
                                    </wps:cNvSpPr>
                                    <wps:spPr bwMode="auto">
                                      <a:xfrm>
                                        <a:off x="8067" y="10512"/>
                                        <a:ext cx="2145" cy="468"/>
                                      </a:xfrm>
                                      <a:prstGeom prst="rect">
                                        <a:avLst/>
                                      </a:prstGeom>
                                      <a:solidFill>
                                        <a:srgbClr val="FFFFFF"/>
                                      </a:solidFill>
                                      <a:ln w="9525">
                                        <a:solidFill>
                                          <a:srgbClr val="000000"/>
                                        </a:solidFill>
                                        <a:miter lim="800000"/>
                                      </a:ln>
                                    </wps:spPr>
                                    <wps:txbx>
                                      <w:txbxContent>
                                        <w:p>
                                          <w:pPr>
                                            <w:jc w:val="center"/>
                                            <w:rPr>
                                              <w:sz w:val="18"/>
                                            </w:rPr>
                                          </w:pPr>
                                          <w:r>
                                            <w:rPr>
                                              <w:rFonts w:hint="eastAsia"/>
                                              <w:sz w:val="18"/>
                                            </w:rPr>
                                            <w:t>应急总指挥</w:t>
                                          </w:r>
                                        </w:p>
                                      </w:txbxContent>
                                    </wps:txbx>
                                    <wps:bodyPr rot="0" vert="horz" wrap="square" lIns="91440" tIns="45720" rIns="91440" bIns="45720" anchor="t" anchorCtr="0" upright="1">
                                      <a:noAutofit/>
                                    </wps:bodyPr>
                                  </wps:wsp>
                                  <wps:wsp>
                                    <wps:cNvPr id="33" name="直线 67"/>
                                    <wps:cNvCnPr>
                                      <a:cxnSpLocks noChangeShapeType="1"/>
                                    </wps:cNvCnPr>
                                    <wps:spPr bwMode="auto">
                                      <a:xfrm>
                                        <a:off x="2292" y="3350"/>
                                        <a:ext cx="0" cy="310"/>
                                      </a:xfrm>
                                      <a:prstGeom prst="line">
                                        <a:avLst/>
                                      </a:prstGeom>
                                      <a:noFill/>
                                      <a:ln w="9525">
                                        <a:solidFill>
                                          <a:srgbClr val="000000"/>
                                        </a:solidFill>
                                        <a:round/>
                                        <a:tailEnd type="triangle" w="med" len="med"/>
                                      </a:ln>
                                    </wps:spPr>
                                    <wps:bodyPr/>
                                  </wps:wsp>
                                  <wps:wsp>
                                    <wps:cNvPr id="34" name="Line 938"/>
                                    <wps:cNvCnPr>
                                      <a:cxnSpLocks noChangeShapeType="1"/>
                                    </wps:cNvCnPr>
                                    <wps:spPr bwMode="auto">
                                      <a:xfrm flipH="1">
                                        <a:off x="2307" y="4077"/>
                                        <a:ext cx="0" cy="318"/>
                                      </a:xfrm>
                                      <a:prstGeom prst="line">
                                        <a:avLst/>
                                      </a:prstGeom>
                                      <a:noFill/>
                                      <a:ln w="9525">
                                        <a:solidFill>
                                          <a:srgbClr val="000000"/>
                                        </a:solidFill>
                                        <a:round/>
                                        <a:tailEnd type="triangle" w="med" len="med"/>
                                      </a:ln>
                                    </wps:spPr>
                                    <wps:bodyPr/>
                                  </wps:wsp>
                                  <wps:wsp>
                                    <wps:cNvPr id="35" name="自选图形 74"/>
                                    <wps:cNvSpPr>
                                      <a:spLocks noChangeArrowheads="1"/>
                                    </wps:cNvSpPr>
                                    <wps:spPr bwMode="auto">
                                      <a:xfrm>
                                        <a:off x="5187" y="10386"/>
                                        <a:ext cx="1155" cy="783"/>
                                      </a:xfrm>
                                      <a:prstGeom prst="flowChartDecision">
                                        <a:avLst/>
                                      </a:prstGeom>
                                      <a:solidFill>
                                        <a:srgbClr val="FFFFFF"/>
                                      </a:solidFill>
                                      <a:ln w="9525">
                                        <a:solidFill>
                                          <a:srgbClr val="000000"/>
                                        </a:solidFill>
                                        <a:miter lim="800000"/>
                                      </a:ln>
                                    </wps:spPr>
                                    <wps:txbx>
                                      <w:txbxContent>
                                        <w:p>
                                          <w:pPr>
                                            <w:adjustRightInd w:val="0"/>
                                            <w:snapToGrid w:val="0"/>
                                            <w:spacing w:line="160" w:lineRule="exact"/>
                                            <w:jc w:val="center"/>
                                            <w:rPr>
                                              <w:sz w:val="16"/>
                                            </w:rPr>
                                          </w:pPr>
                                          <w:r>
                                            <w:rPr>
                                              <w:sz w:val="16"/>
                                            </w:rPr>
                                            <w:t>是否成功</w:t>
                                          </w:r>
                                        </w:p>
                                        <w:p/>
                                      </w:txbxContent>
                                    </wps:txbx>
                                    <wps:bodyPr rot="0" vert="horz" wrap="square" lIns="91440" tIns="45720" rIns="91440" bIns="45720" anchor="t" anchorCtr="0" upright="1">
                                      <a:noAutofit/>
                                    </wps:bodyPr>
                                  </wps:wsp>
                                  <wps:wsp>
                                    <wps:cNvPr id="36" name="Text Box 940"/>
                                    <wps:cNvSpPr txBox="1">
                                      <a:spLocks noChangeArrowheads="1"/>
                                    </wps:cNvSpPr>
                                    <wps:spPr bwMode="auto">
                                      <a:xfrm>
                                        <a:off x="3012" y="4329"/>
                                        <a:ext cx="525" cy="468"/>
                                      </a:xfrm>
                                      <a:prstGeom prst="rect">
                                        <a:avLst/>
                                      </a:prstGeom>
                                      <a:noFill/>
                                      <a:ln>
                                        <a:noFill/>
                                      </a:ln>
                                    </wps:spPr>
                                    <wps:txbx>
                                      <w:txbxContent>
                                        <w:p>
                                          <w:pPr>
                                            <w:rPr>
                                              <w:sz w:val="18"/>
                                            </w:rPr>
                                          </w:pPr>
                                          <w:r>
                                            <w:rPr>
                                              <w:sz w:val="18"/>
                                            </w:rPr>
                                            <w:t>是</w:t>
                                          </w:r>
                                        </w:p>
                                      </w:txbxContent>
                                    </wps:txbx>
                                    <wps:bodyPr rot="0" vert="horz" wrap="square" lIns="91440" tIns="45720" rIns="91440" bIns="45720" anchor="t" anchorCtr="0" upright="1">
                                      <a:noAutofit/>
                                    </wps:bodyPr>
                                  </wps:wsp>
                                  <wps:wsp>
                                    <wps:cNvPr id="37" name="Text Box 941"/>
                                    <wps:cNvSpPr txBox="1">
                                      <a:spLocks noChangeArrowheads="1"/>
                                    </wps:cNvSpPr>
                                    <wps:spPr bwMode="auto">
                                      <a:xfrm>
                                        <a:off x="2217" y="5049"/>
                                        <a:ext cx="525" cy="468"/>
                                      </a:xfrm>
                                      <a:prstGeom prst="rect">
                                        <a:avLst/>
                                      </a:prstGeom>
                                      <a:noFill/>
                                      <a:ln>
                                        <a:noFill/>
                                      </a:ln>
                                    </wps:spPr>
                                    <wps:txbx>
                                      <w:txbxContent>
                                        <w:p>
                                          <w:pPr>
                                            <w:rPr>
                                              <w:sz w:val="18"/>
                                              <w:szCs w:val="18"/>
                                            </w:rPr>
                                          </w:pPr>
                                          <w:r>
                                            <w:rPr>
                                              <w:sz w:val="18"/>
                                              <w:szCs w:val="18"/>
                                            </w:rPr>
                                            <w:t>否</w:t>
                                          </w:r>
                                        </w:p>
                                      </w:txbxContent>
                                    </wps:txbx>
                                    <wps:bodyPr rot="0" vert="horz" wrap="square" lIns="91440" tIns="45720" rIns="91440" bIns="45720" anchor="t" anchorCtr="0" upright="1">
                                      <a:noAutofit/>
                                    </wps:bodyPr>
                                  </wps:wsp>
                                  <wps:wsp>
                                    <wps:cNvPr id="38" name="Text Box 942"/>
                                    <wps:cNvSpPr txBox="1">
                                      <a:spLocks noChangeArrowheads="1"/>
                                    </wps:cNvSpPr>
                                    <wps:spPr bwMode="auto">
                                      <a:xfrm>
                                        <a:off x="1977" y="4350"/>
                                        <a:ext cx="735" cy="780"/>
                                      </a:xfrm>
                                      <a:prstGeom prst="rect">
                                        <a:avLst/>
                                      </a:prstGeom>
                                      <a:noFill/>
                                      <a:ln>
                                        <a:noFill/>
                                      </a:ln>
                                    </wps:spPr>
                                    <wps:txbx>
                                      <w:txbxContent>
                                        <w:p>
                                          <w:r>
                                            <w:rPr>
                                              <w:rFonts w:hint="eastAsia"/>
                                              <w:sz w:val="16"/>
                                            </w:rPr>
                                            <w:t>是否成功</w:t>
                                          </w:r>
                                        </w:p>
                                      </w:txbxContent>
                                    </wps:txbx>
                                    <wps:bodyPr rot="0" vert="horz" wrap="square" lIns="91440" tIns="45720" rIns="91440" bIns="45720" anchor="t" anchorCtr="0" upright="1">
                                      <a:noAutofit/>
                                    </wps:bodyPr>
                                  </wps:wsp>
                                  <wps:wsp>
                                    <wps:cNvPr id="39" name="直线 78"/>
                                    <wps:cNvCnPr>
                                      <a:cxnSpLocks noChangeShapeType="1"/>
                                    </wps:cNvCnPr>
                                    <wps:spPr bwMode="auto">
                                      <a:xfrm flipH="1">
                                        <a:off x="2292" y="6027"/>
                                        <a:ext cx="0" cy="318"/>
                                      </a:xfrm>
                                      <a:prstGeom prst="line">
                                        <a:avLst/>
                                      </a:prstGeom>
                                      <a:noFill/>
                                      <a:ln w="9525">
                                        <a:solidFill>
                                          <a:srgbClr val="000000"/>
                                        </a:solidFill>
                                        <a:round/>
                                        <a:tailEnd type="triangle" w="med" len="med"/>
                                      </a:ln>
                                    </wps:spPr>
                                    <wps:bodyPr/>
                                  </wps:wsp>
                                  <wps:wsp>
                                    <wps:cNvPr id="40" name="直线 79"/>
                                    <wps:cNvCnPr>
                                      <a:cxnSpLocks noChangeShapeType="1"/>
                                    </wps:cNvCnPr>
                                    <wps:spPr bwMode="auto">
                                      <a:xfrm flipH="1">
                                        <a:off x="2277" y="6822"/>
                                        <a:ext cx="0" cy="318"/>
                                      </a:xfrm>
                                      <a:prstGeom prst="line">
                                        <a:avLst/>
                                      </a:prstGeom>
                                      <a:noFill/>
                                      <a:ln w="9525">
                                        <a:solidFill>
                                          <a:srgbClr val="000000"/>
                                        </a:solidFill>
                                        <a:round/>
                                        <a:tailEnd type="triangle" w="med" len="med"/>
                                      </a:ln>
                                    </wps:spPr>
                                    <wps:bodyPr/>
                                  </wps:wsp>
                                  <wps:wsp>
                                    <wps:cNvPr id="41" name="文本框 80"/>
                                    <wps:cNvSpPr txBox="1">
                                      <a:spLocks noChangeArrowheads="1"/>
                                    </wps:cNvSpPr>
                                    <wps:spPr bwMode="auto">
                                      <a:xfrm>
                                        <a:off x="1917" y="7170"/>
                                        <a:ext cx="735" cy="780"/>
                                      </a:xfrm>
                                      <a:prstGeom prst="rect">
                                        <a:avLst/>
                                      </a:prstGeom>
                                      <a:noFill/>
                                      <a:ln>
                                        <a:noFill/>
                                      </a:ln>
                                    </wps:spPr>
                                    <wps:txbx>
                                      <w:txbxContent>
                                        <w:p>
                                          <w:pPr>
                                            <w:jc w:val="center"/>
                                            <w:rPr>
                                              <w:sz w:val="16"/>
                                            </w:rPr>
                                          </w:pPr>
                                          <w:r>
                                            <w:rPr>
                                              <w:sz w:val="16"/>
                                            </w:rPr>
                                            <w:t>是否</w:t>
                                          </w:r>
                                        </w:p>
                                        <w:p>
                                          <w:pPr>
                                            <w:jc w:val="center"/>
                                            <w:rPr>
                                              <w:sz w:val="16"/>
                                            </w:rPr>
                                          </w:pPr>
                                          <w:r>
                                            <w:rPr>
                                              <w:sz w:val="16"/>
                                            </w:rPr>
                                            <w:t>成功</w:t>
                                          </w:r>
                                        </w:p>
                                      </w:txbxContent>
                                    </wps:txbx>
                                    <wps:bodyPr rot="0" vert="horz" wrap="square" lIns="91440" tIns="45720" rIns="91440" bIns="45720" anchor="t" anchorCtr="0" upright="1">
                                      <a:noAutofit/>
                                    </wps:bodyPr>
                                  </wps:wsp>
                                  <wps:wsp>
                                    <wps:cNvPr id="42" name="文本框 81"/>
                                    <wps:cNvSpPr txBox="1">
                                      <a:spLocks noChangeArrowheads="1"/>
                                    </wps:cNvSpPr>
                                    <wps:spPr bwMode="auto">
                                      <a:xfrm>
                                        <a:off x="3192" y="7059"/>
                                        <a:ext cx="525" cy="468"/>
                                      </a:xfrm>
                                      <a:prstGeom prst="rect">
                                        <a:avLst/>
                                      </a:prstGeom>
                                      <a:noFill/>
                                      <a:ln>
                                        <a:noFill/>
                                      </a:ln>
                                    </wps:spPr>
                                    <wps:txbx>
                                      <w:txbxContent>
                                        <w:p>
                                          <w:pPr>
                                            <w:rPr>
                                              <w:sz w:val="18"/>
                                              <w:szCs w:val="18"/>
                                            </w:rPr>
                                          </w:pPr>
                                          <w:r>
                                            <w:rPr>
                                              <w:sz w:val="18"/>
                                              <w:szCs w:val="18"/>
                                            </w:rPr>
                                            <w:t>否</w:t>
                                          </w:r>
                                        </w:p>
                                      </w:txbxContent>
                                    </wps:txbx>
                                    <wps:bodyPr rot="0" vert="horz" wrap="square" lIns="91440" tIns="45720" rIns="91440" bIns="45720" anchor="t" anchorCtr="0" upright="1">
                                      <a:noAutofit/>
                                    </wps:bodyPr>
                                  </wps:wsp>
                                  <wps:wsp>
                                    <wps:cNvPr id="43" name="直线 82"/>
                                    <wps:cNvCnPr>
                                      <a:cxnSpLocks noChangeShapeType="1"/>
                                    </wps:cNvCnPr>
                                    <wps:spPr bwMode="auto">
                                      <a:xfrm>
                                        <a:off x="5787" y="3342"/>
                                        <a:ext cx="0" cy="3900"/>
                                      </a:xfrm>
                                      <a:prstGeom prst="line">
                                        <a:avLst/>
                                      </a:prstGeom>
                                      <a:noFill/>
                                      <a:ln w="9525">
                                        <a:solidFill>
                                          <a:srgbClr val="000000"/>
                                        </a:solidFill>
                                        <a:round/>
                                        <a:tailEnd type="triangle" w="med" len="med"/>
                                      </a:ln>
                                    </wps:spPr>
                                    <wps:bodyPr/>
                                  </wps:wsp>
                                  <wps:wsp>
                                    <wps:cNvPr id="44" name="直线 84"/>
                                    <wps:cNvCnPr>
                                      <a:cxnSpLocks noChangeShapeType="1"/>
                                    </wps:cNvCnPr>
                                    <wps:spPr bwMode="auto">
                                      <a:xfrm flipH="1">
                                        <a:off x="5742" y="8547"/>
                                        <a:ext cx="0" cy="318"/>
                                      </a:xfrm>
                                      <a:prstGeom prst="line">
                                        <a:avLst/>
                                      </a:prstGeom>
                                      <a:noFill/>
                                      <a:ln w="9525">
                                        <a:solidFill>
                                          <a:srgbClr val="000000"/>
                                        </a:solidFill>
                                        <a:round/>
                                        <a:tailEnd type="triangle" w="med" len="med"/>
                                      </a:ln>
                                    </wps:spPr>
                                    <wps:bodyPr/>
                                  </wps:wsp>
                                  <wps:wsp>
                                    <wps:cNvPr id="45" name="直线 87"/>
                                    <wps:cNvCnPr>
                                      <a:cxnSpLocks noChangeShapeType="1"/>
                                    </wps:cNvCnPr>
                                    <wps:spPr bwMode="auto">
                                      <a:xfrm>
                                        <a:off x="9252" y="12540"/>
                                        <a:ext cx="15" cy="525"/>
                                      </a:xfrm>
                                      <a:prstGeom prst="line">
                                        <a:avLst/>
                                      </a:prstGeom>
                                      <a:noFill/>
                                      <a:ln w="9525">
                                        <a:solidFill>
                                          <a:srgbClr val="000000"/>
                                        </a:solidFill>
                                        <a:round/>
                                        <a:tailEnd type="triangle" w="med" len="med"/>
                                      </a:ln>
                                    </wps:spPr>
                                    <wps:bodyPr/>
                                  </wps:wsp>
                                  <wps:wsp>
                                    <wps:cNvPr id="46" name="直线 88"/>
                                    <wps:cNvCnPr>
                                      <a:cxnSpLocks noChangeShapeType="1"/>
                                    </wps:cNvCnPr>
                                    <wps:spPr bwMode="auto">
                                      <a:xfrm>
                                        <a:off x="6342" y="10788"/>
                                        <a:ext cx="1710" cy="12"/>
                                      </a:xfrm>
                                      <a:prstGeom prst="line">
                                        <a:avLst/>
                                      </a:prstGeom>
                                      <a:noFill/>
                                      <a:ln w="9525">
                                        <a:solidFill>
                                          <a:srgbClr val="000000"/>
                                        </a:solidFill>
                                        <a:round/>
                                        <a:tailEnd type="triangle" w="med" len="med"/>
                                      </a:ln>
                                    </wps:spPr>
                                    <wps:bodyPr/>
                                  </wps:wsp>
                                  <wps:wsp>
                                    <wps:cNvPr id="47" name="直线 89"/>
                                    <wps:cNvCnPr>
                                      <a:cxnSpLocks noChangeShapeType="1"/>
                                    </wps:cNvCnPr>
                                    <wps:spPr bwMode="auto">
                                      <a:xfrm flipH="1">
                                        <a:off x="9237" y="3315"/>
                                        <a:ext cx="0" cy="7218"/>
                                      </a:xfrm>
                                      <a:prstGeom prst="line">
                                        <a:avLst/>
                                      </a:prstGeom>
                                      <a:noFill/>
                                      <a:ln w="9525">
                                        <a:solidFill>
                                          <a:srgbClr val="000000"/>
                                        </a:solidFill>
                                        <a:round/>
                                        <a:tailEnd type="triangle" w="med" len="med"/>
                                      </a:ln>
                                    </wps:spPr>
                                    <wps:bodyPr/>
                                  </wps:wsp>
                                  <wps:wsp>
                                    <wps:cNvPr id="48" name="文本框 91"/>
                                    <wps:cNvSpPr txBox="1">
                                      <a:spLocks noChangeArrowheads="1"/>
                                    </wps:cNvSpPr>
                                    <wps:spPr bwMode="auto">
                                      <a:xfrm>
                                        <a:off x="2307" y="8079"/>
                                        <a:ext cx="525" cy="468"/>
                                      </a:xfrm>
                                      <a:prstGeom prst="rect">
                                        <a:avLst/>
                                      </a:prstGeom>
                                      <a:noFill/>
                                      <a:ln>
                                        <a:noFill/>
                                      </a:ln>
                                    </wps:spPr>
                                    <wps:txbx>
                                      <w:txbxContent>
                                        <w:p>
                                          <w:pPr>
                                            <w:rPr>
                                              <w:sz w:val="18"/>
                                            </w:rPr>
                                          </w:pPr>
                                          <w:r>
                                            <w:rPr>
                                              <w:sz w:val="18"/>
                                            </w:rPr>
                                            <w:t>是</w:t>
                                          </w:r>
                                        </w:p>
                                      </w:txbxContent>
                                    </wps:txbx>
                                    <wps:bodyPr rot="0" vert="horz" wrap="square" lIns="91440" tIns="45720" rIns="91440" bIns="45720" anchor="t" anchorCtr="0" upright="1">
                                      <a:noAutofit/>
                                    </wps:bodyPr>
                                  </wps:wsp>
                                  <wps:wsp>
                                    <wps:cNvPr id="49" name="文本框 92"/>
                                    <wps:cNvSpPr txBox="1">
                                      <a:spLocks noChangeArrowheads="1"/>
                                    </wps:cNvSpPr>
                                    <wps:spPr bwMode="auto">
                                      <a:xfrm>
                                        <a:off x="5772" y="11334"/>
                                        <a:ext cx="525" cy="468"/>
                                      </a:xfrm>
                                      <a:prstGeom prst="rect">
                                        <a:avLst/>
                                      </a:prstGeom>
                                      <a:noFill/>
                                      <a:ln>
                                        <a:noFill/>
                                      </a:ln>
                                    </wps:spPr>
                                    <wps:txbx>
                                      <w:txbxContent>
                                        <w:p>
                                          <w:pPr>
                                            <w:rPr>
                                              <w:sz w:val="18"/>
                                              <w:szCs w:val="18"/>
                                            </w:rPr>
                                          </w:pPr>
                                          <w:r>
                                            <w:rPr>
                                              <w:sz w:val="18"/>
                                              <w:szCs w:val="18"/>
                                            </w:rPr>
                                            <w:t>是</w:t>
                                          </w:r>
                                        </w:p>
                                        <w:p/>
                                      </w:txbxContent>
                                    </wps:txbx>
                                    <wps:bodyPr rot="0" vert="horz" wrap="square" lIns="91440" tIns="45720" rIns="91440" bIns="45720" anchor="t" anchorCtr="0" upright="1">
                                      <a:noAutofit/>
                                    </wps:bodyPr>
                                  </wps:wsp>
                                  <wps:wsp>
                                    <wps:cNvPr id="50" name="直线 95"/>
                                    <wps:cNvCnPr>
                                      <a:cxnSpLocks noChangeShapeType="1"/>
                                    </wps:cNvCnPr>
                                    <wps:spPr bwMode="auto">
                                      <a:xfrm flipH="1">
                                        <a:off x="9207" y="11772"/>
                                        <a:ext cx="0" cy="318"/>
                                      </a:xfrm>
                                      <a:prstGeom prst="line">
                                        <a:avLst/>
                                      </a:prstGeom>
                                      <a:noFill/>
                                      <a:ln w="9525">
                                        <a:solidFill>
                                          <a:srgbClr val="000000"/>
                                        </a:solidFill>
                                        <a:round/>
                                        <a:tailEnd type="triangle" w="med" len="med"/>
                                      </a:ln>
                                    </wps:spPr>
                                    <wps:bodyPr/>
                                  </wps:wsp>
                                  <wps:wsp>
                                    <wps:cNvPr id="51" name="直线 96"/>
                                    <wps:cNvCnPr>
                                      <a:cxnSpLocks noChangeShapeType="1"/>
                                    </wps:cNvCnPr>
                                    <wps:spPr bwMode="auto">
                                      <a:xfrm>
                                        <a:off x="2277" y="7932"/>
                                        <a:ext cx="15" cy="1758"/>
                                      </a:xfrm>
                                      <a:prstGeom prst="line">
                                        <a:avLst/>
                                      </a:prstGeom>
                                      <a:noFill/>
                                      <a:ln w="9525">
                                        <a:solidFill>
                                          <a:srgbClr val="000000"/>
                                        </a:solidFill>
                                        <a:round/>
                                        <a:tailEnd type="triangle" w="med" len="med"/>
                                      </a:ln>
                                    </wps:spPr>
                                    <wps:bodyPr/>
                                  </wps:wsp>
                                  <wps:wsp>
                                    <wps:cNvPr id="52" name="直线 97"/>
                                    <wps:cNvCnPr>
                                      <a:cxnSpLocks noChangeShapeType="1"/>
                                    </wps:cNvCnPr>
                                    <wps:spPr bwMode="auto">
                                      <a:xfrm flipH="1">
                                        <a:off x="5712" y="11172"/>
                                        <a:ext cx="30" cy="1878"/>
                                      </a:xfrm>
                                      <a:prstGeom prst="line">
                                        <a:avLst/>
                                      </a:prstGeom>
                                      <a:noFill/>
                                      <a:ln w="9525">
                                        <a:solidFill>
                                          <a:srgbClr val="000000"/>
                                        </a:solidFill>
                                        <a:round/>
                                        <a:tailEnd type="triangle" w="med" len="med"/>
                                      </a:ln>
                                    </wps:spPr>
                                    <wps:bodyPr/>
                                  </wps:wsp>
                                  <wps:wsp>
                                    <wps:cNvPr id="53" name="直线 98"/>
                                    <wps:cNvCnPr>
                                      <a:cxnSpLocks noChangeShapeType="1"/>
                                    </wps:cNvCnPr>
                                    <wps:spPr bwMode="auto">
                                      <a:xfrm flipV="1">
                                        <a:off x="8157" y="11535"/>
                                        <a:ext cx="472" cy="0"/>
                                      </a:xfrm>
                                      <a:prstGeom prst="line">
                                        <a:avLst/>
                                      </a:prstGeom>
                                      <a:noFill/>
                                      <a:ln w="9525">
                                        <a:solidFill>
                                          <a:srgbClr val="000000"/>
                                        </a:solidFill>
                                        <a:round/>
                                        <a:tailEnd type="triangle" w="med" len="med"/>
                                      </a:ln>
                                    </wps:spPr>
                                    <wps:bodyPr/>
                                  </wps:wsp>
                                  <wps:wsp>
                                    <wps:cNvPr id="54" name="直线 99"/>
                                    <wps:cNvCnPr>
                                      <a:cxnSpLocks noChangeShapeType="1"/>
                                    </wps:cNvCnPr>
                                    <wps:spPr bwMode="auto">
                                      <a:xfrm flipH="1">
                                        <a:off x="9894" y="11529"/>
                                        <a:ext cx="466" cy="0"/>
                                      </a:xfrm>
                                      <a:prstGeom prst="line">
                                        <a:avLst/>
                                      </a:prstGeom>
                                      <a:noFill/>
                                      <a:ln w="9525">
                                        <a:solidFill>
                                          <a:srgbClr val="000000"/>
                                        </a:solidFill>
                                        <a:round/>
                                        <a:tailEnd type="triangle" w="med" len="med"/>
                                      </a:ln>
                                    </wps:spPr>
                                    <wps:bodyPr/>
                                  </wps:wsp>
                                  <wps:wsp>
                                    <wps:cNvPr id="55" name="文本框 387"/>
                                    <wps:cNvSpPr txBox="1">
                                      <a:spLocks noChangeArrowheads="1"/>
                                    </wps:cNvSpPr>
                                    <wps:spPr bwMode="auto">
                                      <a:xfrm>
                                        <a:off x="1251" y="9657"/>
                                        <a:ext cx="2061" cy="813"/>
                                      </a:xfrm>
                                      <a:prstGeom prst="rect">
                                        <a:avLst/>
                                      </a:prstGeom>
                                      <a:solidFill>
                                        <a:srgbClr val="FFFFFF"/>
                                      </a:solidFill>
                                      <a:ln w="9525">
                                        <a:solidFill>
                                          <a:srgbClr val="000000"/>
                                        </a:solidFill>
                                        <a:miter lim="800000"/>
                                      </a:ln>
                                    </wps:spPr>
                                    <wps:txbx>
                                      <w:txbxContent>
                                        <w:p>
                                          <w:pPr>
                                            <w:jc w:val="center"/>
                                            <w:rPr>
                                              <w:sz w:val="18"/>
                                            </w:rPr>
                                          </w:pPr>
                                          <w:r>
                                            <w:rPr>
                                              <w:sz w:val="18"/>
                                            </w:rPr>
                                            <w:t>情况上报到</w:t>
                                          </w:r>
                                          <w:r>
                                            <w:rPr>
                                              <w:rFonts w:hint="eastAsia"/>
                                              <w:sz w:val="18"/>
                                            </w:rPr>
                                            <w:t>应急指挥部副总指挥</w:t>
                                          </w:r>
                                        </w:p>
                                        <w:p>
                                          <w:pPr>
                                            <w:jc w:val="center"/>
                                          </w:pPr>
                                          <w:r>
                                            <w:t>组长</w:t>
                                          </w:r>
                                        </w:p>
                                      </w:txbxContent>
                                    </wps:txbx>
                                    <wps:bodyPr rot="0" vert="horz" wrap="square" lIns="91440" tIns="45720" rIns="91440" bIns="45720" anchor="t" anchorCtr="0" upright="1">
                                      <a:noAutofit/>
                                    </wps:bodyPr>
                                  </wps:wsp>
                                  <wps:wsp>
                                    <wps:cNvPr id="56" name="文本框 406"/>
                                    <wps:cNvSpPr txBox="1">
                                      <a:spLocks noChangeArrowheads="1"/>
                                    </wps:cNvSpPr>
                                    <wps:spPr bwMode="auto">
                                      <a:xfrm>
                                        <a:off x="1947" y="13062"/>
                                        <a:ext cx="8280" cy="468"/>
                                      </a:xfrm>
                                      <a:prstGeom prst="rect">
                                        <a:avLst/>
                                      </a:prstGeom>
                                      <a:solidFill>
                                        <a:srgbClr val="FFFFFF"/>
                                      </a:solidFill>
                                      <a:ln w="9525">
                                        <a:solidFill>
                                          <a:srgbClr val="000000"/>
                                        </a:solidFill>
                                        <a:miter lim="800000"/>
                                      </a:ln>
                                    </wps:spPr>
                                    <wps:txbx>
                                      <w:txbxContent>
                                        <w:p>
                                          <w:pPr>
                                            <w:jc w:val="center"/>
                                          </w:pPr>
                                          <w:r>
                                            <w:rPr>
                                              <w:sz w:val="18"/>
                                            </w:rPr>
                                            <w:t>后期处置，恢复生产</w:t>
                                          </w:r>
                                        </w:p>
                                      </w:txbxContent>
                                    </wps:txbx>
                                    <wps:bodyPr rot="0" vert="horz" wrap="square" lIns="91440" tIns="45720" rIns="91440" bIns="45720" anchor="t" anchorCtr="0" upright="1">
                                      <a:noAutofit/>
                                    </wps:bodyPr>
                                  </wps:wsp>
                                  <wps:wsp>
                                    <wps:cNvPr id="57" name="直线 407"/>
                                    <wps:cNvCnPr>
                                      <a:cxnSpLocks noChangeShapeType="1"/>
                                    </wps:cNvCnPr>
                                    <wps:spPr bwMode="auto">
                                      <a:xfrm flipH="1">
                                        <a:off x="2292" y="10497"/>
                                        <a:ext cx="15" cy="2538"/>
                                      </a:xfrm>
                                      <a:prstGeom prst="line">
                                        <a:avLst/>
                                      </a:prstGeom>
                                      <a:noFill/>
                                      <a:ln w="9525">
                                        <a:solidFill>
                                          <a:srgbClr val="000000"/>
                                        </a:solidFill>
                                        <a:round/>
                                        <a:tailEnd type="triangle" w="med" len="med"/>
                                      </a:ln>
                                    </wps:spPr>
                                    <wps:bodyPr/>
                                  </wps:wsp>
                                  <wps:wsp>
                                    <wps:cNvPr id="58" name="直线 408"/>
                                    <wps:cNvCnPr>
                                      <a:cxnSpLocks noChangeShapeType="1"/>
                                    </wps:cNvCnPr>
                                    <wps:spPr bwMode="auto">
                                      <a:xfrm>
                                        <a:off x="5697" y="13557"/>
                                        <a:ext cx="15" cy="498"/>
                                      </a:xfrm>
                                      <a:prstGeom prst="line">
                                        <a:avLst/>
                                      </a:prstGeom>
                                      <a:noFill/>
                                      <a:ln w="9525">
                                        <a:solidFill>
                                          <a:srgbClr val="000000"/>
                                        </a:solidFill>
                                        <a:round/>
                                        <a:tailEnd type="triangle" w="med" len="med"/>
                                      </a:ln>
                                    </wps:spPr>
                                    <wps:bodyPr/>
                                  </wps:wsp>
                                  <wps:wsp>
                                    <wps:cNvPr id="59" name="文本框 409"/>
                                    <wps:cNvSpPr txBox="1">
                                      <a:spLocks noChangeArrowheads="1"/>
                                    </wps:cNvSpPr>
                                    <wps:spPr bwMode="auto">
                                      <a:xfrm>
                                        <a:off x="3777" y="14052"/>
                                        <a:ext cx="3780" cy="468"/>
                                      </a:xfrm>
                                      <a:prstGeom prst="rect">
                                        <a:avLst/>
                                      </a:prstGeom>
                                      <a:solidFill>
                                        <a:srgbClr val="FFFFFF"/>
                                      </a:solidFill>
                                      <a:ln w="9525">
                                        <a:solidFill>
                                          <a:srgbClr val="000000"/>
                                        </a:solidFill>
                                        <a:miter lim="800000"/>
                                      </a:ln>
                                    </wps:spPr>
                                    <wps:txbx>
                                      <w:txbxContent>
                                        <w:p>
                                          <w:pPr>
                                            <w:jc w:val="center"/>
                                            <w:rPr>
                                              <w:sz w:val="18"/>
                                            </w:rPr>
                                          </w:pPr>
                                          <w:r>
                                            <w:rPr>
                                              <w:sz w:val="18"/>
                                            </w:rPr>
                                            <w:t>事故调查总结，修订预案</w:t>
                                          </w:r>
                                        </w:p>
                                      </w:txbxContent>
                                    </wps:txbx>
                                    <wps:bodyPr rot="0" vert="horz" wrap="square" lIns="91440" tIns="45720" rIns="91440" bIns="45720" anchor="t" anchorCtr="0" upright="1">
                                      <a:noAutofit/>
                                    </wps:bodyPr>
                                  </wps:wsp>
                                </wpg:grpSp>
                              </wpg:grpSp>
                            </wpg:grpSp>
                          </wpg:grpSp>
                        </wpg:grpSp>
                        <wps:wsp>
                          <wps:cNvPr id="60" name="AutoShape 964"/>
                          <wps:cNvCnPr>
                            <a:cxnSpLocks noChangeShapeType="1"/>
                          </wps:cNvCnPr>
                          <wps:spPr bwMode="auto">
                            <a:xfrm>
                              <a:off x="5518" y="7032"/>
                              <a:ext cx="14" cy="340"/>
                            </a:xfrm>
                            <a:prstGeom prst="straightConnector1">
                              <a:avLst/>
                            </a:prstGeom>
                            <a:noFill/>
                            <a:ln w="9525">
                              <a:solidFill>
                                <a:srgbClr val="000000"/>
                              </a:solidFill>
                              <a:round/>
                              <a:tailEnd type="triangle" w="med" len="med"/>
                            </a:ln>
                          </wps:spPr>
                          <wps:bodyPr/>
                        </wps:wsp>
                      </wpg:grpSp>
                      <wps:wsp>
                        <wps:cNvPr id="61" name="AutoShape 965"/>
                        <wps:cNvCnPr>
                          <a:cxnSpLocks noChangeShapeType="1"/>
                        </wps:cNvCnPr>
                        <wps:spPr bwMode="auto">
                          <a:xfrm>
                            <a:off x="5374" y="8433"/>
                            <a:ext cx="0" cy="247"/>
                          </a:xfrm>
                          <a:prstGeom prst="straightConnector1">
                            <a:avLst/>
                          </a:prstGeom>
                          <a:noFill/>
                          <a:ln w="9525">
                            <a:solidFill>
                              <a:srgbClr val="000000"/>
                            </a:solidFill>
                            <a:round/>
                            <a:tailEnd type="triangle" w="med" len="med"/>
                          </a:ln>
                        </wps:spPr>
                        <wps:bodyPr/>
                      </wps:wsp>
                      <wps:wsp>
                        <wps:cNvPr id="62" name="AutoShape 966"/>
                        <wps:cNvCnPr>
                          <a:cxnSpLocks noChangeShapeType="1"/>
                        </wps:cNvCnPr>
                        <wps:spPr bwMode="auto">
                          <a:xfrm>
                            <a:off x="5414" y="9139"/>
                            <a:ext cx="14" cy="329"/>
                          </a:xfrm>
                          <a:prstGeom prst="straightConnector1">
                            <a:avLst/>
                          </a:prstGeom>
                          <a:noFill/>
                          <a:ln w="9525">
                            <a:solidFill>
                              <a:srgbClr val="000000"/>
                            </a:solidFill>
                            <a:round/>
                            <a:tailEnd type="triangle" w="med" len="med"/>
                          </a:ln>
                        </wps:spPr>
                        <wps:bodyPr/>
                      </wps:wsp>
                    </wpg:wgp>
                  </a:graphicData>
                </a:graphic>
              </wp:anchor>
            </w:drawing>
          </mc:Choice>
          <mc:Fallback>
            <w:pict>
              <v:group id="Group 908" o:spid="_x0000_s1026" o:spt="203" style="position:absolute;left:0pt;margin-left:-20.3pt;margin-top:0.75pt;height:600.25pt;width:463.55pt;z-index:251815936;mso-width-relative:page;mso-height-relative:page;" coordorigin="1394,1515" coordsize="9271,12005" o:gfxdata="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">
                <o:lock v:ext="edit" aspectratio="f"/>
                <v:group id="Group 909" o:spid="_x0000_s1026" o:spt="203" style="position:absolute;left:1394;top:1515;height:12005;width:9271;" coordorigin="1555,1850" coordsize="9109,11670" o:gfxdata="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HTySXu7AAAA2gAAAA8AAAAAAAAAAQAgAAAAIgAAAGRycy9kb3ducmV2LnhtbFBL&#10;AQIUABQAAAAIAIdO4kAzLwWeOwAAADkAAAAVAAAAAAAAAAEAIAAAAAoBAABkcnMvZ3JvdXBzaGFw&#10;ZXhtbC54bWxQSwUGAAAAAAYABgBgAQAAxwMAAAAA&#10;">
                  <o:lock v:ext="edit" aspectratio="f"/>
                  <v:group id="Group 910" o:spid="_x0000_s1026" o:spt="203" style="position:absolute;left:1555;top:1850;height:11670;width:9109;" coordorigin="1701,2271" coordsize="10356,12249" o:gfxdata="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CDXDL0AAADaAAAADwAAAAAAAAABACAAAAAiAAAAZHJzL2Rvd25yZXYueG1s&#10;UEsBAhQAFAAAAAgAh07iQDMvBZ47AAAAOQAAABUAAAAAAAAAAQAgAAAADAEAAGRycy9ncm91cHNo&#10;YXBleG1sLnhtbFBLBQYAAAAABgAGAGABAADJAwAAAAA=&#10;">
                    <o:lock v:ext="edit" aspectratio="f"/>
                    <v:line id="直线 71" o:spid="_x0000_s1026" o:spt="20" style="position:absolute;left:2757;top:5139;flip:x;height:378;width:0;" filled="f" stroked="t" coordsize="21600,21600" o:gfxdata="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1ITAb4A&#10;AADa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id="Group 912" o:spid="_x0000_s1026" o:spt="203" style="position:absolute;left:1701;top:2271;height:12249;width:10356;" coordorigin="1251,2271" coordsize="10356,12249" o:gfxdata="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mvPm5boAAADaAAAADwAAAAAAAAABACAAAAAiAAAAZHJzL2Rvd25yZXYueG1sUEsB&#10;AhQAFAAAAAgAh07iQDMvBZ47AAAAOQAAABUAAAAAAAAAAQAgAAAACQEAAGRycy9ncm91cHNoYXBl&#10;eG1sLnhtbFBLBQYAAAAABgAGAGABAADGAwAAAAA=&#10;">
                      <o:lock v:ext="edit" aspectratio="f"/>
                      <v:line id="直线 69" o:spid="_x0000_s1026" o:spt="20" style="position:absolute;left:2907;top:4743;flip:y;height:0;width:795;" filled="f" stroked="t" coordsize="21600,21600" o:gfxdata="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YEi6L4A&#10;AADa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id="Group 914" o:spid="_x0000_s1026" o:spt="203" style="position:absolute;left:1251;top:2271;height:12249;width:10356;" coordorigin="1251,2271" coordsize="10356,12249" o:gfxdata="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PIOkRW+AAAA2wAAAA8AAAAAAAAAAQAgAAAAIgAAAGRycy9kb3ducmV2Lnht&#10;bFBLAQIUABQAAAAIAIdO4kAzLwWeOwAAADkAAAAVAAAAAAAAAAEAIAAAAA0BAABkcnMvZ3JvdXBz&#10;aGFwZXhtbC54bWxQSwUGAAAAAAYABgBgAQAAygMAAAAA&#10;">
                        <o:lock v:ext="edit" aspectratio="f"/>
                        <v:shape id="自选图形 70" o:spid="_x0000_s1026" o:spt="110" type="#_x0000_t110" style="position:absolute;left:1761;top:4356;height:783;width:1131;" fillcolor="#FFFFFF" filled="t" stroked="t" coordsize="21600,21600" o:gfxdata="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bdxLr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w:txbxContent>
                              <w:p/>
                            </w:txbxContent>
                          </v:textbox>
                        </v:shape>
                        <v:group id="Group 916" o:spid="_x0000_s1026" o:spt="203" style="position:absolute;left:1251;top:2271;height:12249;width:10356;" coordorigin="1251,2271" coordsize="10356,12249" o:gfxdata="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tkKr5vAAAANsAAAAPAAAAAAAAAAEAIAAAACIAAABkcnMvZG93bnJldi54bWxQ&#10;SwECFAAUAAAACACHTuJAMy8FnjsAAAA5AAAAFQAAAAAAAAABACAAAAALAQAAZHJzL2dyb3Vwc2hh&#10;cGV4bWwueG1sUEsFBgAAAAAGAAYAYAEAAMgDAAAAAA==&#10;">
                          <o:lock v:ext="edit" aspectratio="f"/>
                          <v:shape id="自选图形 72" o:spid="_x0000_s1026" o:spt="110" type="#_x0000_t110" style="position:absolute;left:1716;top:7146;height:783;width:1131;" fillcolor="#FFFFFF" filled="t" stroked="t" coordsize="21600,21600" o:gfxdata="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ilKwr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w:txbxContent>
                                <w:p/>
                              </w:txbxContent>
                            </v:textbox>
                          </v:shape>
                          <v:line id="直线 73" o:spid="_x0000_s1026" o:spt="20" style="position:absolute;left:2862;top:7515;height:0;width:1815;" filled="f" stroked="t" coordsize="21600,21600" o:gfxdata="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aS+qi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id="Group 919" o:spid="_x0000_s1026" o:spt="203" style="position:absolute;left:1251;top:2271;height:12249;width:10356;" coordorigin="1251,2271" coordsize="10356,12249" o:gfxdata="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ieTKNvAAAANsAAAAPAAAAAAAAAAEAIAAAACIAAABkcnMvZG93bnJldi54bWxQ&#10;SwECFAAUAAAACACHTuJAMy8FnjsAAAA5AAAAFQAAAAAAAAABACAAAAALAQAAZHJzL2dyb3Vwc2hh&#10;cGV4bWwueG1sUEsFBgAAAAAGAAYAYAEAAMgDAAAAAA==&#10;">
                            <o:lock v:ext="edit" aspectratio="f"/>
                            <v:shape id="Text Box 920" o:spid="_x0000_s1026" o:spt="202" type="#_x0000_t202" style="position:absolute;left:5367;top:2271;height:468;width:1260;" filled="f" stroked="f" coordsize="21600,21600" o:gfxdata="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MWuxm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pPr>
                                      <w:rPr>
                                        <w:b/>
                                        <w:bCs/>
                                        <w:color w:val="FFFFFF"/>
                                        <w:sz w:val="18"/>
                                        <w:szCs w:val="18"/>
                                      </w:rPr>
                                    </w:pPr>
                                    <w:r>
                                      <w:rPr>
                                        <w:b/>
                                        <w:bCs/>
                                        <w:color w:val="FFFFFF"/>
                                        <w:sz w:val="18"/>
                                        <w:szCs w:val="18"/>
                                      </w:rPr>
                                      <w:t>事故发生</w:t>
                                    </w:r>
                                  </w:p>
                                </w:txbxContent>
                              </v:textbox>
                            </v:shape>
                            <v:shape id="Text Box 921" o:spid="_x0000_s1026" o:spt="202" type="#_x0000_t202" style="position:absolute;left:1701;top:2874;height:468;width:1236;" fillcolor="#FF0000" filled="t" stroked="f" coordsize="21600,21600" o:gfxdata="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JXZzL4A&#10;AADbAAAADwAAAAAAAAABACAAAAAiAAAAZHJzL2Rvd25yZXYueG1sUEsBAhQAFAAAAAgAh07iQDMv&#10;BZ47AAAAOQAAABAAAAAAAAAAAQAgAAAADQEAAGRycy9zaGFwZXhtbC54bWxQSwUGAAAAAAYABgBb&#10;AQAAtwMAAAAA&#10;">
                              <v:fill on="t" focussize="0,0"/>
                              <v:stroke on="f"/>
                              <v:imagedata o:title=""/>
                              <o:lock v:ext="edit" aspectratio="f"/>
                              <v:textbox>
                                <w:txbxContent>
                                  <w:p>
                                    <w:pPr>
                                      <w:adjustRightInd w:val="0"/>
                                      <w:snapToGrid w:val="0"/>
                                      <w:jc w:val="center"/>
                                      <w:rPr>
                                        <w:b/>
                                        <w:bCs/>
                                        <w:color w:val="FFFFFF"/>
                                      </w:rPr>
                                    </w:pPr>
                                    <w:r>
                                      <w:rPr>
                                        <w:rFonts w:hint="eastAsia"/>
                                        <w:b/>
                                        <w:bCs/>
                                        <w:color w:val="FFFFFF"/>
                                        <w:sz w:val="20"/>
                                      </w:rPr>
                                      <w:t>车间级</w:t>
                                    </w:r>
                                  </w:p>
                                </w:txbxContent>
                              </v:textbox>
                            </v:shape>
                            <v:shape id="文本框 52" o:spid="_x0000_s1026" o:spt="202" type="#_x0000_t202" style="position:absolute;left:5232;top:2865;height:468;width:1260;" fillcolor="#FF0000" filled="t" stroked="f" coordsize="21600,21600" o:gfxdata="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tCk2+vQAA&#10;ANsAAAAPAAAAAAAAAAEAIAAAACIAAABkcnMvZG93bnJldi54bWxQSwECFAAUAAAACACHTuJAMy8F&#10;njsAAAA5AAAAEAAAAAAAAAABACAAAAAMAQAAZHJzL3NoYXBleG1sLnhtbFBLBQYAAAAABgAGAFsB&#10;AAC2AwAAAAA=&#10;">
                              <v:fill on="t" focussize="0,0"/>
                              <v:stroke on="f"/>
                              <v:imagedata o:title=""/>
                              <o:lock v:ext="edit" aspectratio="f"/>
                              <v:textbox>
                                <w:txbxContent>
                                  <w:p>
                                    <w:pPr>
                                      <w:jc w:val="center"/>
                                      <w:rPr>
                                        <w:b/>
                                        <w:bCs/>
                                        <w:color w:val="FFFFFF"/>
                                        <w:sz w:val="20"/>
                                      </w:rPr>
                                    </w:pPr>
                                    <w:r>
                                      <w:rPr>
                                        <w:rFonts w:hint="eastAsia"/>
                                        <w:b/>
                                        <w:bCs/>
                                        <w:color w:val="FFFFFF"/>
                                        <w:sz w:val="20"/>
                                      </w:rPr>
                                      <w:t>公司级</w:t>
                                    </w:r>
                                  </w:p>
                                </w:txbxContent>
                              </v:textbox>
                            </v:shape>
                            <v:shape id="Text Box 923" o:spid="_x0000_s1026" o:spt="202" type="#_x0000_t202" style="position:absolute;left:8622;top:2850;height:468;width:1260;" fillcolor="#FF0000" filled="t" stroked="f" coordsize="21600,21600" o:gfxdata="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kboJb4A&#10;AADbAAAADwAAAAAAAAABACAAAAAiAAAAZHJzL2Rvd25yZXYueG1sUEsBAhQAFAAAAAgAh07iQDMv&#10;BZ47AAAAOQAAABAAAAAAAAAAAQAgAAAADQEAAGRycy9zaGFwZXhtbC54bWxQSwUGAAAAAAYABgBb&#10;AQAAtwMAAAAA&#10;">
                              <v:fill on="t" focussize="0,0"/>
                              <v:stroke on="f"/>
                              <v:imagedata o:title=""/>
                              <o:lock v:ext="edit" aspectratio="f"/>
                              <v:textbox>
                                <w:txbxContent>
                                  <w:p>
                                    <w:pPr>
                                      <w:jc w:val="center"/>
                                      <w:rPr>
                                        <w:b/>
                                        <w:bCs/>
                                        <w:color w:val="FFFFFF"/>
                                        <w:sz w:val="20"/>
                                      </w:rPr>
                                    </w:pPr>
                                    <w:r>
                                      <w:rPr>
                                        <w:rFonts w:hint="eastAsia"/>
                                        <w:b/>
                                        <w:bCs/>
                                        <w:color w:val="FFFFFF"/>
                                        <w:sz w:val="20"/>
                                      </w:rPr>
                                      <w:t>社会级</w:t>
                                    </w:r>
                                  </w:p>
                                </w:txbxContent>
                              </v:textbox>
                            </v:shape>
                            <v:shape id="文本框 54" o:spid="_x0000_s1026" o:spt="202" type="#_x0000_t202" style="position:absolute;left:1701;top:3642;height:450;width:1236;" fillcolor="#FFFFFF" filled="t" stroked="t" coordsize="21600,21600" o:gfxdata="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3KBVkugAAANs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textbox>
                                <w:txbxContent>
                                  <w:p>
                                    <w:pPr>
                                      <w:jc w:val="center"/>
                                      <w:rPr>
                                        <w:sz w:val="18"/>
                                      </w:rPr>
                                    </w:pPr>
                                    <w:r>
                                      <w:rPr>
                                        <w:sz w:val="18"/>
                                      </w:rPr>
                                      <w:t>现场处置</w:t>
                                    </w:r>
                                  </w:p>
                                </w:txbxContent>
                              </v:textbox>
                            </v:shape>
                            <v:shape id="Text Box 925" o:spid="_x0000_s1026" o:spt="202" type="#_x0000_t202" style="position:absolute;left:1431;top:5547;height:468;width:1791;" fillcolor="#FFFFFF" filled="t" stroked="t" coordsize="21600,21600" o:gfxdata="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GSw/7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w:txbxContent>
                                  <w:p>
                                    <w:pPr>
                                      <w:jc w:val="center"/>
                                    </w:pPr>
                                    <w:r>
                                      <w:rPr>
                                        <w:sz w:val="18"/>
                                      </w:rPr>
                                      <w:t>对应现场负责</w:t>
                                    </w:r>
                                    <w:r>
                                      <w:t>人</w:t>
                                    </w:r>
                                  </w:p>
                                </w:txbxContent>
                              </v:textbox>
                            </v:shape>
                            <v:shape id="文本框 56" o:spid="_x0000_s1026" o:spt="202" type="#_x0000_t202" style="position:absolute;left:4692;top:7242;height:468;width:2100;" fillcolor="#FFFFFF" filled="t" stroked="t" coordsize="21600,21600" o:gfxdata="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LYuiL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w:txbxContent>
                                  <w:p>
                                    <w:pPr>
                                      <w:jc w:val="center"/>
                                    </w:pPr>
                                    <w:r>
                                      <w:rPr>
                                        <w:rFonts w:hint="eastAsia"/>
                                        <w:sz w:val="18"/>
                                      </w:rPr>
                                      <w:t>上报</w:t>
                                    </w:r>
                                    <w:r>
                                      <w:rPr>
                                        <w:sz w:val="18"/>
                                      </w:rPr>
                                      <w:t>应急指挥</w:t>
                                    </w:r>
                                    <w:r>
                                      <w:rPr>
                                        <w:rFonts w:hint="eastAsia"/>
                                        <w:sz w:val="18"/>
                                      </w:rPr>
                                      <w:t>部</w:t>
                                    </w:r>
                                  </w:p>
                                </w:txbxContent>
                              </v:textbox>
                            </v:shape>
                            <v:shape id="Text Box 927" o:spid="_x0000_s1026" o:spt="202" type="#_x0000_t202" style="position:absolute;left:3687;top:4377;height:813;width:2070;" fillcolor="#FFFFFF" filled="t" stroked="t" coordsize="21600,21600" o:gfxdata="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H+osT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w:txbxContent>
                                  <w:p>
                                    <w:pPr>
                                      <w:jc w:val="center"/>
                                      <w:rPr>
                                        <w:sz w:val="18"/>
                                      </w:rPr>
                                    </w:pPr>
                                    <w:r>
                                      <w:rPr>
                                        <w:sz w:val="18"/>
                                      </w:rPr>
                                      <w:t>情况上报到</w:t>
                                    </w:r>
                                    <w:r>
                                      <w:rPr>
                                        <w:rFonts w:hint="eastAsia"/>
                                        <w:sz w:val="18"/>
                                      </w:rPr>
                                      <w:t>应急指挥部副总指挥</w:t>
                                    </w:r>
                                  </w:p>
                                </w:txbxContent>
                              </v:textbox>
                            </v:shape>
                            <v:shape id="Text Box 928" o:spid="_x0000_s1026" o:spt="202" type="#_x0000_t202" style="position:absolute;left:1416;top:6348;height:462;width:1821;" fillcolor="#FFFFFF" filled="t" stroked="t" coordsize="21600,21600" o:gfxdata="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gTE2e/&#10;AAAA2w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w:txbxContent>
                                  <w:p>
                                    <w:pPr>
                                      <w:jc w:val="center"/>
                                      <w:rPr>
                                        <w:sz w:val="18"/>
                                      </w:rPr>
                                    </w:pPr>
                                    <w:r>
                                      <w:rPr>
                                        <w:sz w:val="18"/>
                                      </w:rPr>
                                      <w:t>处置、救援</w:t>
                                    </w:r>
                                  </w:p>
                                </w:txbxContent>
                              </v:textbox>
                            </v:shape>
                            <v:shape id="文本框 59" o:spid="_x0000_s1026" o:spt="202" type="#_x0000_t202" style="position:absolute;left:8622;top:11292;height:468;width:1260;" fillcolor="#FFFFFF" filled="t" stroked="t" coordsize="21600,21600" o:gfxdata="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nX7b8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w:txbxContent>
                                  <w:p>
                                    <w:pPr>
                                      <w:rPr>
                                        <w:sz w:val="18"/>
                                        <w:szCs w:val="18"/>
                                      </w:rPr>
                                    </w:pPr>
                                    <w:r>
                                      <w:rPr>
                                        <w:sz w:val="18"/>
                                        <w:szCs w:val="18"/>
                                      </w:rPr>
                                      <w:t>外部救援</w:t>
                                    </w:r>
                                  </w:p>
                                </w:txbxContent>
                              </v:textbox>
                            </v:shape>
                            <v:shape id="Text Box 930" o:spid="_x0000_s1026" o:spt="202" type="#_x0000_t202" style="position:absolute;left:4677;top:9582;height:468;width:2130;" fillcolor="#FFFFFF" filled="t" stroked="t" coordsize="21600,21600" o:gfxdata="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XjSiL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w:txbxContent>
                                  <w:p>
                                    <w:pPr>
                                      <w:jc w:val="center"/>
                                      <w:rPr>
                                        <w:sz w:val="18"/>
                                      </w:rPr>
                                    </w:pPr>
                                    <w:r>
                                      <w:rPr>
                                        <w:sz w:val="18"/>
                                      </w:rPr>
                                      <w:t>处置救援</w:t>
                                    </w:r>
                                  </w:p>
                                </w:txbxContent>
                              </v:textbox>
                            </v:shape>
                            <v:shape id="文本框 61" o:spid="_x0000_s1026" o:spt="202" type="#_x0000_t202" style="position:absolute;left:4677;top:8862;height:468;width:2130;" fillcolor="#FFFFFF" filled="t" stroked="t" coordsize="21600,21600" o:gfxdata="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jBjRC/&#10;AAAA2w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w:txbxContent>
                                  <w:p>
                                    <w:pPr>
                                      <w:jc w:val="center"/>
                                      <w:rPr>
                                        <w:sz w:val="18"/>
                                        <w:szCs w:val="18"/>
                                      </w:rPr>
                                    </w:pPr>
                                    <w:r>
                                      <w:rPr>
                                        <w:sz w:val="18"/>
                                        <w:szCs w:val="18"/>
                                      </w:rPr>
                                      <w:t>立即赶赴事故现场</w:t>
                                    </w:r>
                                  </w:p>
                                </w:txbxContent>
                              </v:textbox>
                            </v:shape>
                            <v:shape id="Text Box 932" o:spid="_x0000_s1026" o:spt="202" type="#_x0000_t202" style="position:absolute;left:4662;top:8067;height:468;width:2160;" fillcolor="#FFFFFF" filled="t" stroked="t" coordsize="21600,21600" o:gfxdata="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JXhliugAAANs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textbox>
                                <w:txbxContent>
                                  <w:p>
                                    <w:pPr>
                                      <w:jc w:val="center"/>
                                      <w:rPr>
                                        <w:sz w:val="18"/>
                                      </w:rPr>
                                    </w:pPr>
                                    <w:r>
                                      <w:rPr>
                                        <w:sz w:val="18"/>
                                      </w:rPr>
                                      <w:t>各应急小组</w:t>
                                    </w:r>
                                  </w:p>
                                </w:txbxContent>
                              </v:textbox>
                            </v:shape>
                            <v:shape id="文本框 63" o:spid="_x0000_s1026" o:spt="202" type="#_x0000_t202" style="position:absolute;left:8652;top:12072;height:468;width:1215;" fillcolor="#FFFFFF" filled="t" stroked="t" coordsize="21600,21600" o:gfxdata="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mErz5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w:txbxContent>
                                  <w:p>
                                    <w:pPr>
                                      <w:rPr>
                                        <w:sz w:val="18"/>
                                        <w:szCs w:val="18"/>
                                      </w:rPr>
                                    </w:pPr>
                                    <w:r>
                                      <w:rPr>
                                        <w:sz w:val="18"/>
                                        <w:szCs w:val="18"/>
                                      </w:rPr>
                                      <w:t>救援成功</w:t>
                                    </w:r>
                                  </w:p>
                                </w:txbxContent>
                              </v:textbox>
                            </v:shape>
                            <v:shape id="Text Box 934" o:spid="_x0000_s1026" o:spt="202" type="#_x0000_t202" style="position:absolute;left:10347;top:11292;height:468;width:1260;" fillcolor="#FFFFFF" filled="t" stroked="t" coordsize="21600,21600" o:gfxdata="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vGDub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w:txbxContent>
                                  <w:p>
                                    <w:pPr>
                                      <w:jc w:val="center"/>
                                      <w:rPr>
                                        <w:sz w:val="18"/>
                                        <w:szCs w:val="18"/>
                                      </w:rPr>
                                    </w:pPr>
                                    <w:r>
                                      <w:rPr>
                                        <w:sz w:val="18"/>
                                        <w:szCs w:val="18"/>
                                      </w:rPr>
                                      <w:t>政府协助</w:t>
                                    </w:r>
                                  </w:p>
                                </w:txbxContent>
                              </v:textbox>
                            </v:shape>
                            <v:shape id="Text Box 935" o:spid="_x0000_s1026" o:spt="202" type="#_x0000_t202" style="position:absolute;left:6897;top:11307;height:468;width:1260;" fillcolor="#FFFFFF" filled="t" stroked="t" coordsize="21600,21600" o:gfxdata="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b0mIr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w:txbxContent>
                                  <w:p>
                                    <w:pPr>
                                      <w:jc w:val="center"/>
                                      <w:rPr>
                                        <w:sz w:val="18"/>
                                        <w:szCs w:val="18"/>
                                      </w:rPr>
                                    </w:pPr>
                                    <w:r>
                                      <w:rPr>
                                        <w:sz w:val="18"/>
                                        <w:szCs w:val="18"/>
                                      </w:rPr>
                                      <w:t>公司救援</w:t>
                                    </w:r>
                                  </w:p>
                                </w:txbxContent>
                              </v:textbox>
                            </v:shape>
                            <v:shape id="文本框 66" o:spid="_x0000_s1026" o:spt="202" type="#_x0000_t202" style="position:absolute;left:8067;top:10512;height:468;width:2145;" fillcolor="#FFFFFF" filled="t" stroked="t" coordsize="21600,21600" o:gfxdata="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b7hV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w:txbxContent>
                                  <w:p>
                                    <w:pPr>
                                      <w:jc w:val="center"/>
                                      <w:rPr>
                                        <w:sz w:val="18"/>
                                      </w:rPr>
                                    </w:pPr>
                                    <w:r>
                                      <w:rPr>
                                        <w:rFonts w:hint="eastAsia"/>
                                        <w:sz w:val="18"/>
                                      </w:rPr>
                                      <w:t>应急总指挥</w:t>
                                    </w:r>
                                  </w:p>
                                </w:txbxContent>
                              </v:textbox>
                            </v:shape>
                            <v:line id="直线 67" o:spid="_x0000_s1026" o:spt="20" style="position:absolute;left:2292;top:3350;height:310;width:0;" filled="f" stroked="t" coordsize="21600,21600" o:gfxdata="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s4+v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Line 938" o:spid="_x0000_s1026" o:spt="20" style="position:absolute;left:2307;top:4077;flip:x;height:318;width:0;" filled="f" stroked="t" coordsize="21600,21600" o:gfxdata="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f8gBS/&#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shape id="自选图形 74" o:spid="_x0000_s1026" o:spt="110" type="#_x0000_t110" style="position:absolute;left:5187;top:10386;height:783;width:1155;" fillcolor="#FFFFFF" filled="t" stroked="t" coordsize="21600,21600" o:gfxdata="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TkrTb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w:txbxContent>
                                  <w:p>
                                    <w:pPr>
                                      <w:adjustRightInd w:val="0"/>
                                      <w:snapToGrid w:val="0"/>
                                      <w:spacing w:line="160" w:lineRule="exact"/>
                                      <w:jc w:val="center"/>
                                      <w:rPr>
                                        <w:sz w:val="16"/>
                                      </w:rPr>
                                    </w:pPr>
                                    <w:r>
                                      <w:rPr>
                                        <w:sz w:val="16"/>
                                      </w:rPr>
                                      <w:t>是否成功</w:t>
                                    </w:r>
                                  </w:p>
                                  <w:p/>
                                </w:txbxContent>
                              </v:textbox>
                            </v:shape>
                            <v:shape id="Text Box 940" o:spid="_x0000_s1026" o:spt="202" type="#_x0000_t202" style="position:absolute;left:3012;top:4329;height:468;width:525;" filled="f" stroked="f" coordsize="21600,21600" o:gfxdata="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ij53m8AAAA&#10;2wAAAA8AAAAAAAAAAQAgAAAAIgAAAGRycy9kb3ducmV2LnhtbFBLAQIUABQAAAAIAIdO4kAzLwWe&#10;OwAAADkAAAAQAAAAAAAAAAEAIAAAAAsBAABkcnMvc2hhcGV4bWwueG1sUEsFBgAAAAAGAAYAWwEA&#10;ALUDAAAAAA==&#10;">
                              <v:fill on="f" focussize="0,0"/>
                              <v:stroke on="f"/>
                              <v:imagedata o:title=""/>
                              <o:lock v:ext="edit" aspectratio="f"/>
                              <v:textbox>
                                <w:txbxContent>
                                  <w:p>
                                    <w:pPr>
                                      <w:rPr>
                                        <w:sz w:val="18"/>
                                      </w:rPr>
                                    </w:pPr>
                                    <w:r>
                                      <w:rPr>
                                        <w:sz w:val="18"/>
                                      </w:rPr>
                                      <w:t>是</w:t>
                                    </w:r>
                                  </w:p>
                                </w:txbxContent>
                              </v:textbox>
                            </v:shape>
                            <v:shape id="Text Box 941" o:spid="_x0000_s1026" o:spt="202" type="#_x0000_t202" style="position:absolute;left:2217;top:5049;height:468;width:525;" filled="f" stroked="f" coordsize="21600,21600" o:gfxdata="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fvQuK8AAAA&#10;2wAAAA8AAAAAAAAAAQAgAAAAIgAAAGRycy9kb3ducmV2LnhtbFBLAQIUABQAAAAIAIdO4kAzLwWe&#10;OwAAADkAAAAQAAAAAAAAAAEAIAAAAAsBAABkcnMvc2hhcGV4bWwueG1sUEsFBgAAAAAGAAYAWwEA&#10;ALUDAAAAAA==&#10;">
                              <v:fill on="f" focussize="0,0"/>
                              <v:stroke on="f"/>
                              <v:imagedata o:title=""/>
                              <o:lock v:ext="edit" aspectratio="f"/>
                              <v:textbox>
                                <w:txbxContent>
                                  <w:p>
                                    <w:pPr>
                                      <w:rPr>
                                        <w:sz w:val="18"/>
                                        <w:szCs w:val="18"/>
                                      </w:rPr>
                                    </w:pPr>
                                    <w:r>
                                      <w:rPr>
                                        <w:sz w:val="18"/>
                                        <w:szCs w:val="18"/>
                                      </w:rPr>
                                      <w:t>否</w:t>
                                    </w:r>
                                  </w:p>
                                </w:txbxContent>
                              </v:textbox>
                            </v:shape>
                            <v:shape id="Text Box 942" o:spid="_x0000_s1026" o:spt="202" type="#_x0000_t202" style="position:absolute;left:1977;top:4350;height:780;width:735;" filled="f" stroked="f" coordsize="21600,21600" o:gfxdata="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Zw1pC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r>
                                      <w:rPr>
                                        <w:rFonts w:hint="eastAsia"/>
                                        <w:sz w:val="16"/>
                                      </w:rPr>
                                      <w:t>是否成功</w:t>
                                    </w:r>
                                  </w:p>
                                </w:txbxContent>
                              </v:textbox>
                            </v:shape>
                            <v:line id="直线 78" o:spid="_x0000_s1026" o:spt="20" style="position:absolute;left:2292;top:6027;flip:x;height:318;width:0;" filled="f" stroked="t" coordsize="21600,21600" o:gfxdata="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n9L4q/&#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线 79" o:spid="_x0000_s1026" o:spt="20" style="position:absolute;left:2277;top:6822;flip:x;height:318;width:0;" filled="f" stroked="t" coordsize="21600,21600" o:gfxdata="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MH1ar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shape id="文本框 80" o:spid="_x0000_s1026" o:spt="202" type="#_x0000_t202" style="position:absolute;left:1917;top:7170;height:780;width:735;" filled="f" stroked="f" coordsize="21600,21600" o:gfxdata="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TAxw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center"/>
                                      <w:rPr>
                                        <w:sz w:val="16"/>
                                      </w:rPr>
                                    </w:pPr>
                                    <w:r>
                                      <w:rPr>
                                        <w:sz w:val="16"/>
                                      </w:rPr>
                                      <w:t>是否</w:t>
                                    </w:r>
                                  </w:p>
                                  <w:p>
                                    <w:pPr>
                                      <w:jc w:val="center"/>
                                      <w:rPr>
                                        <w:sz w:val="16"/>
                                      </w:rPr>
                                    </w:pPr>
                                    <w:r>
                                      <w:rPr>
                                        <w:sz w:val="16"/>
                                      </w:rPr>
                                      <w:t>成功</w:t>
                                    </w:r>
                                  </w:p>
                                </w:txbxContent>
                              </v:textbox>
                            </v:shape>
                            <v:shape id="文本框 81" o:spid="_x0000_s1026" o:spt="202" type="#_x0000_t202" style="position:absolute;left:3192;top:7059;height:468;width:525;" filled="f" stroked="f" coordsize="21600,21600" o:gfxdata="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PnpIH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rPr>
                                        <w:sz w:val="18"/>
                                        <w:szCs w:val="18"/>
                                      </w:rPr>
                                    </w:pPr>
                                    <w:r>
                                      <w:rPr>
                                        <w:sz w:val="18"/>
                                        <w:szCs w:val="18"/>
                                      </w:rPr>
                                      <w:t>否</w:t>
                                    </w:r>
                                  </w:p>
                                </w:txbxContent>
                              </v:textbox>
                            </v:shape>
                            <v:line id="直线 82" o:spid="_x0000_s1026" o:spt="20" style="position:absolute;left:5787;top:3342;height:3900;width:0;" filled="f" stroked="t" coordsize="21600,21600" o:gfxdata="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rITcG/&#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线 84" o:spid="_x0000_s1026" o:spt="20" style="position:absolute;left:5742;top:8547;flip:x;height:318;width:0;" filled="f" stroked="t" coordsize="21600,21600" o:gfxdata="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rza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直线 87" o:spid="_x0000_s1026" o:spt="20" style="position:absolute;left:9252;top:12540;height:525;width:15;" filled="f" stroked="t" coordsize="21600,21600" o:gfxdata="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ptcC6/&#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线 88" o:spid="_x0000_s1026" o:spt="20" style="position:absolute;left:6342;top:10788;height:12;width:1710;" filled="f" stroked="t" coordsize="21600,21600" o:gfxdata="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q/7lm/&#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线 89" o:spid="_x0000_s1026" o:spt="20" style="position:absolute;left:9237;top:3315;flip:x;height:7218;width:0;" filled="f" stroked="t" coordsize="21600,21600" o:gfxdata="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8obR6/&#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shape id="文本框 91" o:spid="_x0000_s1026" o:spt="202" type="#_x0000_t202" style="position:absolute;left:2307;top:8079;height:468;width:525;" filled="f" stroked="f" coordsize="21600,21600" o:gfxdata="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nal7bgAAADbAAAA&#10;DwAAAAAAAAABACAAAAAiAAAAZHJzL2Rvd25yZXYueG1sUEsBAhQAFAAAAAgAh07iQDMvBZ47AAAA&#10;OQAAABAAAAAAAAAAAQAgAAAABwEAAGRycy9zaGFwZXhtbC54bWxQSwUGAAAAAAYABgBbAQAAsQMA&#10;AAAA&#10;">
                              <v:fill on="f" focussize="0,0"/>
                              <v:stroke on="f"/>
                              <v:imagedata o:title=""/>
                              <o:lock v:ext="edit" aspectratio="f"/>
                              <v:textbox>
                                <w:txbxContent>
                                  <w:p>
                                    <w:pPr>
                                      <w:rPr>
                                        <w:sz w:val="18"/>
                                      </w:rPr>
                                    </w:pPr>
                                    <w:r>
                                      <w:rPr>
                                        <w:sz w:val="18"/>
                                      </w:rPr>
                                      <w:t>是</w:t>
                                    </w:r>
                                  </w:p>
                                </w:txbxContent>
                              </v:textbox>
                            </v:shape>
                            <v:shape id="文本框 92" o:spid="_x0000_s1026" o:spt="202" type="#_x0000_t202" style="position:absolute;left:5772;top:11334;height:468;width:525;" filled="f" stroked="f" coordsize="21600,21600" o:gfxdata="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ToAdrsAAADb&#10;AAAADwAAAAAAAAABACAAAAAiAAAAZHJzL2Rvd25yZXYueG1sUEsBAhQAFAAAAAgAh07iQDMvBZ47&#10;AAAAOQAAABAAAAAAAAAAAQAgAAAACgEAAGRycy9zaGFwZXhtbC54bWxQSwUGAAAAAAYABgBbAQAA&#10;tAMAAAAA&#10;">
                              <v:fill on="f" focussize="0,0"/>
                              <v:stroke on="f"/>
                              <v:imagedata o:title=""/>
                              <o:lock v:ext="edit" aspectratio="f"/>
                              <v:textbox>
                                <w:txbxContent>
                                  <w:p>
                                    <w:pPr>
                                      <w:rPr>
                                        <w:sz w:val="18"/>
                                        <w:szCs w:val="18"/>
                                      </w:rPr>
                                    </w:pPr>
                                    <w:r>
                                      <w:rPr>
                                        <w:sz w:val="18"/>
                                        <w:szCs w:val="18"/>
                                      </w:rPr>
                                      <w:t>是</w:t>
                                    </w:r>
                                  </w:p>
                                  <w:p/>
                                </w:txbxContent>
                              </v:textbox>
                            </v:shape>
                            <v:line id="直线 95" o:spid="_x0000_s1026" o:spt="20" style="position:absolute;left:9207;top:11772;flip:x;height:318;width:0;" filled="f" stroked="t" coordsize="21600,21600" o:gfxdata="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Rhjt7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line id="直线 96" o:spid="_x0000_s1026" o:spt="20" style="position:absolute;left:2277;top:7932;height:1758;width:15;" filled="f" stroked="t" coordsize="21600,21600" o:gfxdata="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I/g8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直线 97" o:spid="_x0000_s1026" o:spt="20" style="position:absolute;left:5712;top:11172;flip:x;height:1878;width:30;" filled="f" stroked="t" coordsize="21600,21600" o:gfxdata="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oZYW7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直线 98" o:spid="_x0000_s1026" o:spt="20" style="position:absolute;left:8157;top:11535;flip:y;height:0;width:472;" filled="f" stroked="t" coordsize="21600,21600" o:gfxdata="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XK/cC/&#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线 99" o:spid="_x0000_s1026" o:spt="20" style="position:absolute;left:9894;top:11529;flip:x;height:0;width:466;" filled="f" stroked="t" coordsize="21600,21600" o:gfxdata="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Nlt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shape id="文本框 387" o:spid="_x0000_s1026" o:spt="202" type="#_x0000_t202" style="position:absolute;left:1251;top:9657;height:813;width:2061;" fillcolor="#FFFFFF" filled="t" stroked="t" coordsize="21600,21600" o:gfxdata="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1nFgb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w:txbxContent>
                                  <w:p>
                                    <w:pPr>
                                      <w:jc w:val="center"/>
                                      <w:rPr>
                                        <w:sz w:val="18"/>
                                      </w:rPr>
                                    </w:pPr>
                                    <w:r>
                                      <w:rPr>
                                        <w:sz w:val="18"/>
                                      </w:rPr>
                                      <w:t>情况上报到</w:t>
                                    </w:r>
                                    <w:r>
                                      <w:rPr>
                                        <w:rFonts w:hint="eastAsia"/>
                                        <w:sz w:val="18"/>
                                      </w:rPr>
                                      <w:t>应急指挥部副总指挥</w:t>
                                    </w:r>
                                  </w:p>
                                  <w:p>
                                    <w:pPr>
                                      <w:jc w:val="center"/>
                                    </w:pPr>
                                    <w:r>
                                      <w:t>组长</w:t>
                                    </w:r>
                                  </w:p>
                                </w:txbxContent>
                              </v:textbox>
                            </v:shape>
                            <v:shape id="文本框 406" o:spid="_x0000_s1026" o:spt="202" type="#_x0000_t202" style="position:absolute;left:1947;top:13062;height:468;width:8280;" fillcolor="#FFFFFF" filled="t" stroked="t" coordsize="21600,21600" o:gfxdata="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4tb9r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w:txbxContent>
                                  <w:p>
                                    <w:pPr>
                                      <w:jc w:val="center"/>
                                    </w:pPr>
                                    <w:r>
                                      <w:rPr>
                                        <w:sz w:val="18"/>
                                      </w:rPr>
                                      <w:t>后期处置，恢复生产</w:t>
                                    </w:r>
                                  </w:p>
                                </w:txbxContent>
                              </v:textbox>
                            </v:shape>
                            <v:line id="直线 407" o:spid="_x0000_s1026" o:spt="20" style="position:absolute;left:2292;top:10497;flip:x;height:2538;width:15;" filled="f" stroked="t" coordsize="21600,21600" o:gfxdata="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rx+8O/&#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线 408" o:spid="_x0000_s1026" o:spt="20" style="position:absolute;left:5697;top:13557;height:498;width:15;" filled="f" stroked="t" coordsize="21600,21600" o:gfxdata="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bVJbb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shape id="文本框 409" o:spid="_x0000_s1026" o:spt="202" type="#_x0000_t202" style="position:absolute;left:3777;top:14052;height:468;width:3780;" fillcolor="#FFFFFF" filled="t" stroked="t" coordsize="21600,21600" o:gfxdata="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hTPhL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w:txbxContent>
                                  <w:p>
                                    <w:pPr>
                                      <w:jc w:val="center"/>
                                      <w:rPr>
                                        <w:sz w:val="18"/>
                                      </w:rPr>
                                    </w:pPr>
                                    <w:r>
                                      <w:rPr>
                                        <w:sz w:val="18"/>
                                      </w:rPr>
                                      <w:t>事故调查总结，修订预案</w:t>
                                    </w:r>
                                  </w:p>
                                </w:txbxContent>
                              </v:textbox>
                            </v:shape>
                          </v:group>
                        </v:group>
                      </v:group>
                    </v:group>
                  </v:group>
                  <v:shape id="AutoShape 964" o:spid="_x0000_s1026" o:spt="32" type="#_x0000_t32" style="position:absolute;left:5518;top:7032;height:340;width:14;" filled="f" stroked="t" coordsize="21600,21600" o:gfxdata="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HipqHugAAANsA&#10;AAAPAAAAAAAAAAEAIAAAACIAAABkcnMvZG93bnJldi54bWxQSwECFAAUAAAACACHTuJAMy8FnjsA&#10;AAA5AAAAEAAAAAAAAAABACAAAAAJAQAAZHJzL3NoYXBleG1sLnhtbFBLBQYAAAAABgAGAFsBAACz&#10;AwAAAAA=&#10;">
                    <v:fill on="f" focussize="0,0"/>
                    <v:stroke color="#000000" joinstyle="round" endarrow="block"/>
                    <v:imagedata o:title=""/>
                    <o:lock v:ext="edit" aspectratio="f"/>
                  </v:shape>
                </v:group>
                <v:shape id="AutoShape 965" o:spid="_x0000_s1026" o:spt="32" type="#_x0000_t32" style="position:absolute;left:5374;top:8433;height:247;width:0;" filled="f" stroked="t" coordsize="21600,21600" o:gfxdata="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xj8c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shape>
                <v:shape id="AutoShape 966" o:spid="_x0000_s1026" o:spt="32" type="#_x0000_t32" style="position:absolute;left:5414;top:9139;height:329;width:14;" filled="f" stroked="t" coordsize="21600,21600" o:gfxdata="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YFKFr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shape>
              </v:group>
            </w:pict>
          </mc:Fallback>
        </mc:AlternateContent>
      </w:r>
    </w:p>
    <w:p>
      <w:pPr>
        <w:adjustRightInd w:val="0"/>
        <w:snapToGrid w:val="0"/>
        <w:spacing w:line="500" w:lineRule="exact"/>
        <w:ind w:firstLine="480" w:firstLineChars="200"/>
        <w:rPr>
          <w:rFonts w:hAnsi="宋体"/>
          <w:bCs/>
          <w:snapToGrid w:val="0"/>
          <w:sz w:val="24"/>
        </w:rPr>
      </w:pPr>
    </w:p>
    <w:p>
      <w:pPr>
        <w:adjustRightInd w:val="0"/>
        <w:snapToGrid w:val="0"/>
        <w:spacing w:line="500" w:lineRule="exact"/>
        <w:ind w:firstLine="480" w:firstLineChars="200"/>
        <w:rPr>
          <w:rFonts w:hAnsi="宋体"/>
          <w:bCs/>
          <w:snapToGrid w:val="0"/>
          <w:sz w:val="24"/>
        </w:rPr>
      </w:pPr>
    </w:p>
    <w:p>
      <w:pPr>
        <w:adjustRightInd w:val="0"/>
        <w:snapToGrid w:val="0"/>
        <w:spacing w:line="500" w:lineRule="exact"/>
        <w:ind w:firstLine="480" w:firstLineChars="200"/>
        <w:rPr>
          <w:rFonts w:hAnsi="宋体"/>
          <w:sz w:val="24"/>
        </w:rPr>
      </w:pPr>
    </w:p>
    <w:p>
      <w:pPr>
        <w:adjustRightInd w:val="0"/>
        <w:snapToGrid w:val="0"/>
        <w:spacing w:line="500" w:lineRule="exact"/>
        <w:ind w:firstLine="480" w:firstLineChars="200"/>
        <w:rPr>
          <w:rFonts w:hAnsi="宋体"/>
          <w:sz w:val="24"/>
        </w:rPr>
      </w:pPr>
    </w:p>
    <w:p>
      <w:pPr>
        <w:adjustRightInd w:val="0"/>
        <w:snapToGrid w:val="0"/>
        <w:spacing w:line="500" w:lineRule="exact"/>
        <w:ind w:firstLine="480" w:firstLineChars="200"/>
        <w:rPr>
          <w:rFonts w:hAnsi="宋体"/>
          <w:sz w:val="24"/>
        </w:rPr>
      </w:pPr>
    </w:p>
    <w:p>
      <w:pPr>
        <w:adjustRightInd w:val="0"/>
        <w:snapToGrid w:val="0"/>
        <w:spacing w:line="500" w:lineRule="exact"/>
        <w:ind w:firstLine="480" w:firstLineChars="200"/>
        <w:rPr>
          <w:rFonts w:hAnsi="宋体"/>
          <w:sz w:val="24"/>
        </w:rPr>
      </w:pPr>
    </w:p>
    <w:p>
      <w:pPr>
        <w:adjustRightInd w:val="0"/>
        <w:snapToGrid w:val="0"/>
        <w:spacing w:line="500" w:lineRule="exact"/>
        <w:ind w:firstLine="480" w:firstLineChars="200"/>
        <w:rPr>
          <w:rFonts w:hAnsi="宋体"/>
          <w:sz w:val="24"/>
        </w:rPr>
      </w:pPr>
    </w:p>
    <w:p>
      <w:pPr>
        <w:adjustRightInd w:val="0"/>
        <w:snapToGrid w:val="0"/>
        <w:spacing w:line="500" w:lineRule="exact"/>
        <w:ind w:firstLine="480" w:firstLineChars="200"/>
        <w:rPr>
          <w:rFonts w:hAnsi="宋体"/>
          <w:sz w:val="24"/>
        </w:rPr>
      </w:pPr>
    </w:p>
    <w:p>
      <w:pPr>
        <w:adjustRightInd w:val="0"/>
        <w:snapToGrid w:val="0"/>
        <w:spacing w:line="500" w:lineRule="exact"/>
        <w:ind w:firstLine="480" w:firstLineChars="200"/>
        <w:rPr>
          <w:rFonts w:hAnsi="宋体"/>
          <w:sz w:val="24"/>
        </w:rPr>
      </w:pPr>
    </w:p>
    <w:p>
      <w:pPr>
        <w:adjustRightInd w:val="0"/>
        <w:snapToGrid w:val="0"/>
        <w:spacing w:line="500" w:lineRule="exact"/>
        <w:ind w:firstLine="480" w:firstLineChars="200"/>
        <w:rPr>
          <w:rFonts w:hAnsi="宋体"/>
          <w:sz w:val="24"/>
        </w:rPr>
      </w:pPr>
    </w:p>
    <w:p>
      <w:pPr>
        <w:adjustRightInd w:val="0"/>
        <w:snapToGrid w:val="0"/>
        <w:spacing w:line="500" w:lineRule="exact"/>
        <w:ind w:firstLine="480" w:firstLineChars="200"/>
        <w:rPr>
          <w:rFonts w:hAnsi="宋体"/>
          <w:sz w:val="24"/>
        </w:rPr>
      </w:pPr>
    </w:p>
    <w:p>
      <w:pPr>
        <w:adjustRightInd w:val="0"/>
        <w:snapToGrid w:val="0"/>
        <w:spacing w:line="500" w:lineRule="exact"/>
        <w:ind w:firstLine="480" w:firstLineChars="200"/>
        <w:rPr>
          <w:rFonts w:hAnsi="宋体"/>
          <w:sz w:val="24"/>
        </w:rPr>
      </w:pPr>
    </w:p>
    <w:p>
      <w:pPr>
        <w:adjustRightInd w:val="0"/>
        <w:snapToGrid w:val="0"/>
        <w:spacing w:line="500" w:lineRule="exact"/>
        <w:ind w:firstLine="480" w:firstLineChars="200"/>
        <w:rPr>
          <w:rFonts w:hAnsi="宋体"/>
          <w:sz w:val="24"/>
        </w:rPr>
      </w:pPr>
    </w:p>
    <w:p>
      <w:pPr>
        <w:adjustRightInd w:val="0"/>
        <w:snapToGrid w:val="0"/>
        <w:spacing w:line="500" w:lineRule="exact"/>
        <w:ind w:firstLine="480" w:firstLineChars="200"/>
        <w:rPr>
          <w:rFonts w:hAnsi="宋体"/>
          <w:sz w:val="24"/>
        </w:rPr>
      </w:pPr>
    </w:p>
    <w:p>
      <w:pPr>
        <w:adjustRightInd w:val="0"/>
        <w:snapToGrid w:val="0"/>
        <w:spacing w:line="500" w:lineRule="exact"/>
        <w:ind w:firstLine="480" w:firstLineChars="200"/>
        <w:rPr>
          <w:rFonts w:hAnsi="宋体"/>
          <w:sz w:val="24"/>
        </w:rPr>
      </w:pPr>
    </w:p>
    <w:p>
      <w:pPr>
        <w:adjustRightInd w:val="0"/>
        <w:snapToGrid w:val="0"/>
        <w:spacing w:line="500" w:lineRule="exact"/>
        <w:ind w:firstLine="480" w:firstLineChars="200"/>
        <w:rPr>
          <w:rFonts w:hAnsi="宋体"/>
          <w:sz w:val="24"/>
        </w:rPr>
      </w:pPr>
      <w:r>
        <w:rPr>
          <w:rFonts w:hAnsi="宋体"/>
          <w:sz w:val="24"/>
        </w:rPr>
        <mc:AlternateContent>
          <mc:Choice Requires="wps">
            <w:drawing>
              <wp:anchor distT="0" distB="0" distL="114300" distR="114300" simplePos="0" relativeHeight="251846656" behindDoc="0" locked="0" layoutInCell="1" allowOverlap="1">
                <wp:simplePos x="0" y="0"/>
                <wp:positionH relativeFrom="column">
                  <wp:posOffset>2975610</wp:posOffset>
                </wp:positionH>
                <wp:positionV relativeFrom="paragraph">
                  <wp:posOffset>8255</wp:posOffset>
                </wp:positionV>
                <wp:extent cx="529590" cy="352425"/>
                <wp:effectExtent l="3810" t="0" r="0" b="1270"/>
                <wp:wrapNone/>
                <wp:docPr id="3" name="Text Box 1200"/>
                <wp:cNvGraphicFramePr/>
                <a:graphic xmlns:a="http://schemas.openxmlformats.org/drawingml/2006/main">
                  <a:graphicData uri="http://schemas.microsoft.com/office/word/2010/wordprocessingShape">
                    <wps:wsp>
                      <wps:cNvSpPr txBox="1">
                        <a:spLocks noChangeArrowheads="1"/>
                      </wps:cNvSpPr>
                      <wps:spPr bwMode="auto">
                        <a:xfrm>
                          <a:off x="0" y="0"/>
                          <a:ext cx="529590" cy="352425"/>
                        </a:xfrm>
                        <a:prstGeom prst="rect">
                          <a:avLst/>
                        </a:prstGeom>
                        <a:noFill/>
                        <a:ln>
                          <a:noFill/>
                        </a:ln>
                      </wps:spPr>
                      <wps:txbx>
                        <w:txbxContent>
                          <w:p>
                            <w:pPr>
                              <w:rPr>
                                <w:sz w:val="18"/>
                                <w:szCs w:val="18"/>
                              </w:rPr>
                            </w:pPr>
                            <w:r>
                              <w:rPr>
                                <w:rFonts w:hint="eastAsia"/>
                                <w:sz w:val="18"/>
                                <w:szCs w:val="18"/>
                              </w:rPr>
                              <w:t>否</w:t>
                            </w:r>
                          </w:p>
                        </w:txbxContent>
                      </wps:txbx>
                      <wps:bodyPr rot="0" vert="horz" wrap="square" lIns="91440" tIns="45720" rIns="91440" bIns="45720" anchor="t" anchorCtr="0" upright="1">
                        <a:noAutofit/>
                      </wps:bodyPr>
                    </wps:wsp>
                  </a:graphicData>
                </a:graphic>
              </wp:anchor>
            </w:drawing>
          </mc:Choice>
          <mc:Fallback>
            <w:pict>
              <v:shape id="Text Box 1200" o:spid="_x0000_s1026" o:spt="202" type="#_x0000_t202" style="position:absolute;left:0pt;margin-left:234.3pt;margin-top:0.65pt;height:27.75pt;width:41.7pt;z-index:251846656;mso-width-relative:page;mso-height-relative:page;" filled="f" stroked="f" coordsize="21600,21600" o:gfxdata="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M0M&#10;crPWAAAACAEAAA8AAAAAAAAAAQAgAAAAIgAAAGRycy9kb3ducmV2LnhtbFBLAQIUABQAAAAIAIdO&#10;4kC0cn0G7AEAAMgDAAAOAAAAAAAAAAEAIAAAACUBAABkcnMvZTJvRG9jLnhtbFBLBQYAAAAABgAG&#10;AFkBAACDBQAAAAA=&#10;">
                <v:fill on="f" focussize="0,0"/>
                <v:stroke on="f"/>
                <v:imagedata o:title=""/>
                <o:lock v:ext="edit" aspectratio="f"/>
                <v:textbox>
                  <w:txbxContent>
                    <w:p>
                      <w:pPr>
                        <w:rPr>
                          <w:sz w:val="18"/>
                          <w:szCs w:val="18"/>
                        </w:rPr>
                      </w:pPr>
                      <w:r>
                        <w:rPr>
                          <w:rFonts w:hint="eastAsia"/>
                          <w:sz w:val="18"/>
                          <w:szCs w:val="18"/>
                        </w:rPr>
                        <w:t>否</w:t>
                      </w:r>
                    </w:p>
                  </w:txbxContent>
                </v:textbox>
              </v:shape>
            </w:pict>
          </mc:Fallback>
        </mc:AlternateContent>
      </w:r>
    </w:p>
    <w:p>
      <w:pPr>
        <w:adjustRightInd w:val="0"/>
        <w:snapToGrid w:val="0"/>
        <w:rPr>
          <w:rFonts w:hAnsi="宋体"/>
          <w:sz w:val="24"/>
        </w:rPr>
      </w:pPr>
      <w:r>
        <w:rPr>
          <w:rFonts w:hAnsi="宋体"/>
          <w:sz w:val="24"/>
        </w:rPr>
        <mc:AlternateContent>
          <mc:Choice Requires="wps">
            <w:drawing>
              <wp:anchor distT="0" distB="0" distL="114300" distR="114300" simplePos="0" relativeHeight="251847680" behindDoc="0" locked="0" layoutInCell="1" allowOverlap="1">
                <wp:simplePos x="0" y="0"/>
                <wp:positionH relativeFrom="column">
                  <wp:posOffset>4262755</wp:posOffset>
                </wp:positionH>
                <wp:positionV relativeFrom="paragraph">
                  <wp:posOffset>32385</wp:posOffset>
                </wp:positionV>
                <wp:extent cx="0" cy="193675"/>
                <wp:effectExtent l="52705" t="6985" r="61595" b="18415"/>
                <wp:wrapNone/>
                <wp:docPr id="2" name="AutoShape 1201"/>
                <wp:cNvGraphicFramePr/>
                <a:graphic xmlns:a="http://schemas.openxmlformats.org/drawingml/2006/main">
                  <a:graphicData uri="http://schemas.microsoft.com/office/word/2010/wordprocessingShape">
                    <wps:wsp>
                      <wps:cNvCnPr>
                        <a:cxnSpLocks noChangeShapeType="1"/>
                      </wps:cNvCnPr>
                      <wps:spPr bwMode="auto">
                        <a:xfrm>
                          <a:off x="0" y="0"/>
                          <a:ext cx="0" cy="193675"/>
                        </a:xfrm>
                        <a:prstGeom prst="straightConnector1">
                          <a:avLst/>
                        </a:prstGeom>
                        <a:noFill/>
                        <a:ln w="9525">
                          <a:solidFill>
                            <a:srgbClr val="000000"/>
                          </a:solidFill>
                          <a:round/>
                          <a:tailEnd type="triangle" w="med" len="med"/>
                        </a:ln>
                      </wps:spPr>
                      <wps:bodyPr/>
                    </wps:wsp>
                  </a:graphicData>
                </a:graphic>
              </wp:anchor>
            </w:drawing>
          </mc:Choice>
          <mc:Fallback>
            <w:pict>
              <v:shape id="AutoShape 1201" o:spid="_x0000_s1026" o:spt="32" type="#_x0000_t32" style="position:absolute;left:0pt;margin-left:335.65pt;margin-top:2.55pt;height:15.25pt;width:0pt;z-index:251847680;mso-width-relative:page;mso-height-relative:page;" filled="f" stroked="t" coordsize="21600,21600" o:gfxdata="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ECyqqjXAAAACAEAAA8AAAAAAAAAAQAgAAAA&#10;IgAAAGRycy9kb3ducmV2LnhtbFBLAQIUABQAAAAIAIdO4kAELou10wEAAJQDAAAOAAAAAAAAAAEA&#10;IAAAACYBAABkcnMvZTJvRG9jLnhtbFBLBQYAAAAABgAGAFkBAABrBQAAAAA=&#10;">
                <v:fill on="f" focussize="0,0"/>
                <v:stroke color="#000000" joinstyle="round" endarrow="block"/>
                <v:imagedata o:title=""/>
                <o:lock v:ext="edit" aspectratio="f"/>
              </v:shape>
            </w:pict>
          </mc:Fallback>
        </mc:AlternateContent>
      </w:r>
    </w:p>
    <w:p>
      <w:pPr>
        <w:pStyle w:val="17"/>
        <w:spacing w:line="500" w:lineRule="exact"/>
        <w:ind w:firstLine="480"/>
        <w:rPr>
          <w:rFonts w:ascii="Times New Roman" w:hAnsi="宋体"/>
          <w:sz w:val="24"/>
        </w:rPr>
      </w:pPr>
    </w:p>
    <w:p/>
    <w:p/>
    <w:p/>
    <w:p/>
    <w:p/>
    <w:p/>
    <w:p/>
    <w:p/>
    <w:p/>
    <w:p/>
    <w:p>
      <w:r>
        <w:rPr>
          <w:rFonts w:eastAsia="仿宋"/>
        </w:rPr>
        <mc:AlternateContent>
          <mc:Choice Requires="wps">
            <w:drawing>
              <wp:anchor distT="0" distB="0" distL="114300" distR="114300" simplePos="0" relativeHeight="251636736" behindDoc="0" locked="0" layoutInCell="1" allowOverlap="1">
                <wp:simplePos x="0" y="0"/>
                <wp:positionH relativeFrom="column">
                  <wp:posOffset>962660</wp:posOffset>
                </wp:positionH>
                <wp:positionV relativeFrom="paragraph">
                  <wp:posOffset>-3810</wp:posOffset>
                </wp:positionV>
                <wp:extent cx="2495550" cy="333375"/>
                <wp:effectExtent l="635" t="0" r="0" b="3175"/>
                <wp:wrapNone/>
                <wp:docPr id="1" name="Text Box 24"/>
                <wp:cNvGraphicFramePr/>
                <a:graphic xmlns:a="http://schemas.openxmlformats.org/drawingml/2006/main">
                  <a:graphicData uri="http://schemas.microsoft.com/office/word/2010/wordprocessingShape">
                    <wps:wsp>
                      <wps:cNvSpPr txBox="1">
                        <a:spLocks noChangeArrowheads="1"/>
                      </wps:cNvSpPr>
                      <wps:spPr bwMode="auto">
                        <a:xfrm>
                          <a:off x="0" y="0"/>
                          <a:ext cx="2495550" cy="333375"/>
                        </a:xfrm>
                        <a:prstGeom prst="rect">
                          <a:avLst/>
                        </a:prstGeom>
                        <a:noFill/>
                        <a:ln>
                          <a:noFill/>
                        </a:ln>
                      </wps:spPr>
                      <wps:txbx>
                        <w:txbxContent>
                          <w:p>
                            <w:pPr>
                              <w:jc w:val="center"/>
                              <w:rPr>
                                <w:b/>
                                <w:szCs w:val="21"/>
                              </w:rPr>
                            </w:pPr>
                            <w:r>
                              <w:rPr>
                                <w:rFonts w:hint="eastAsia"/>
                                <w:b/>
                                <w:szCs w:val="21"/>
                              </w:rPr>
                              <w:t>图6.2-1    企业应急响应流程</w:t>
                            </w:r>
                          </w:p>
                        </w:txbxContent>
                      </wps:txbx>
                      <wps:bodyPr rot="0" vert="horz" wrap="square" lIns="91440" tIns="45720" rIns="91440" bIns="45720" anchor="t" anchorCtr="0" upright="1">
                        <a:noAutofit/>
                      </wps:bodyPr>
                    </wps:wsp>
                  </a:graphicData>
                </a:graphic>
              </wp:anchor>
            </w:drawing>
          </mc:Choice>
          <mc:Fallback>
            <w:pict>
              <v:shape id="Text Box 24" o:spid="_x0000_s1026" o:spt="202" type="#_x0000_t202" style="position:absolute;left:0pt;margin-left:75.8pt;margin-top:-0.3pt;height:26.25pt;width:196.5pt;z-index:251636736;mso-width-relative:page;mso-height-relative:page;" filled="f" stroked="f" coordsize="21600,21600" o:gfxdata="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7fuS5tMA&#10;AAAIAQAADwAAAAAAAAABACAAAAAiAAAAZHJzL2Rvd25yZXYueG1sUEsBAhQAFAAAAAgAh07iQGal&#10;w7rrAQAAxwMAAA4AAAAAAAAAAQAgAAAAIgEAAGRycy9lMm9Eb2MueG1sUEsFBgAAAAAGAAYAWQEA&#10;AH8FAAAAAA==&#10;">
                <v:fill on="f" focussize="0,0"/>
                <v:stroke on="f"/>
                <v:imagedata o:title=""/>
                <o:lock v:ext="edit" aspectratio="f"/>
                <v:textbox>
                  <w:txbxContent>
                    <w:p>
                      <w:pPr>
                        <w:jc w:val="center"/>
                        <w:rPr>
                          <w:b/>
                          <w:szCs w:val="21"/>
                        </w:rPr>
                      </w:pPr>
                      <w:r>
                        <w:rPr>
                          <w:rFonts w:hint="eastAsia"/>
                          <w:b/>
                          <w:szCs w:val="21"/>
                        </w:rPr>
                        <w:t>图6.2-1    企业应急响应流程</w:t>
                      </w:r>
                    </w:p>
                  </w:txbxContent>
                </v:textbox>
              </v:shape>
            </w:pict>
          </mc:Fallback>
        </mc:AlternateContent>
      </w:r>
    </w:p>
    <w:p>
      <w:pPr>
        <w:spacing w:line="500" w:lineRule="exact"/>
        <w:ind w:firstLine="560" w:firstLineChars="200"/>
        <w:rPr>
          <w:rFonts w:ascii="宋体" w:hAnsi="宋体"/>
          <w:sz w:val="28"/>
          <w:szCs w:val="28"/>
        </w:rPr>
        <w:sectPr>
          <w:headerReference r:id="rId9" w:type="default"/>
          <w:pgSz w:w="11906" w:h="16838"/>
          <w:pgMar w:top="1440" w:right="1800" w:bottom="1440" w:left="1800" w:header="851" w:footer="992" w:gutter="0"/>
          <w:cols w:space="425" w:num="1"/>
          <w:docGrid w:type="lines" w:linePitch="312" w:charSpace="0"/>
        </w:sectPr>
      </w:pPr>
    </w:p>
    <w:p>
      <w:pPr>
        <w:outlineLvl w:val="0"/>
        <w:rPr>
          <w:rFonts w:eastAsia="楷体"/>
          <w:b/>
          <w:snapToGrid w:val="0"/>
          <w:spacing w:val="4"/>
          <w:kern w:val="0"/>
          <w:sz w:val="30"/>
          <w:szCs w:val="32"/>
        </w:rPr>
      </w:pPr>
      <w:bookmarkStart w:id="206" w:name="_Toc484164003"/>
      <w:bookmarkStart w:id="207" w:name="_Toc10105688"/>
      <w:r>
        <w:rPr>
          <w:rFonts w:hint="eastAsia" w:eastAsia="楷体"/>
          <w:b/>
          <w:snapToGrid w:val="0"/>
          <w:spacing w:val="4"/>
          <w:kern w:val="0"/>
          <w:sz w:val="30"/>
          <w:szCs w:val="32"/>
        </w:rPr>
        <w:t>7应急处置</w:t>
      </w:r>
      <w:bookmarkEnd w:id="206"/>
      <w:bookmarkEnd w:id="207"/>
    </w:p>
    <w:p>
      <w:pPr>
        <w:spacing w:before="60" w:after="60" w:line="440" w:lineRule="exact"/>
        <w:outlineLvl w:val="1"/>
        <w:rPr>
          <w:rFonts w:eastAsia="黑体"/>
          <w:b/>
          <w:snapToGrid w:val="0"/>
          <w:spacing w:val="4"/>
          <w:kern w:val="0"/>
          <w:sz w:val="28"/>
          <w:szCs w:val="30"/>
        </w:rPr>
      </w:pPr>
      <w:bookmarkStart w:id="208" w:name="_Toc10105689"/>
      <w:bookmarkStart w:id="209" w:name="_Toc484164004"/>
      <w:bookmarkStart w:id="210" w:name="_Toc465957497"/>
      <w:r>
        <w:rPr>
          <w:rFonts w:eastAsia="黑体"/>
          <w:b/>
          <w:snapToGrid w:val="0"/>
          <w:spacing w:val="4"/>
          <w:kern w:val="0"/>
          <w:sz w:val="28"/>
          <w:szCs w:val="30"/>
        </w:rPr>
        <w:t>7.1处置原则</w:t>
      </w:r>
      <w:bookmarkEnd w:id="208"/>
      <w:bookmarkEnd w:id="209"/>
      <w:bookmarkEnd w:id="210"/>
    </w:p>
    <w:p>
      <w:pPr>
        <w:spacing w:line="440" w:lineRule="exact"/>
        <w:ind w:firstLine="480" w:firstLineChars="200"/>
        <w:rPr>
          <w:color w:val="000000"/>
          <w:sz w:val="24"/>
        </w:rPr>
      </w:pPr>
      <w:r>
        <w:rPr>
          <w:color w:val="000000"/>
          <w:sz w:val="24"/>
        </w:rPr>
        <w:t>坚持以人为本，保证生命安全；从源头上控制污染，避免或减少污染扩大； 防止和控制事故蔓延。</w:t>
      </w:r>
    </w:p>
    <w:p>
      <w:pPr>
        <w:spacing w:before="60" w:after="60" w:line="440" w:lineRule="exact"/>
        <w:outlineLvl w:val="1"/>
        <w:rPr>
          <w:rFonts w:eastAsia="黑体"/>
          <w:b/>
          <w:snapToGrid w:val="0"/>
          <w:spacing w:val="4"/>
          <w:kern w:val="0"/>
          <w:sz w:val="28"/>
          <w:szCs w:val="30"/>
        </w:rPr>
      </w:pPr>
      <w:bookmarkStart w:id="211" w:name="_Toc465957498"/>
      <w:bookmarkStart w:id="212" w:name="_Toc10105690"/>
      <w:bookmarkStart w:id="213" w:name="_Toc484164005"/>
      <w:r>
        <w:rPr>
          <w:rFonts w:eastAsia="黑体"/>
          <w:b/>
          <w:snapToGrid w:val="0"/>
          <w:spacing w:val="4"/>
          <w:kern w:val="0"/>
          <w:sz w:val="28"/>
          <w:szCs w:val="30"/>
        </w:rPr>
        <w:t>7.2环境目标优先保护次序</w:t>
      </w:r>
      <w:bookmarkEnd w:id="211"/>
      <w:bookmarkEnd w:id="212"/>
      <w:bookmarkEnd w:id="213"/>
    </w:p>
    <w:p>
      <w:pPr>
        <w:spacing w:line="440" w:lineRule="exact"/>
        <w:ind w:firstLine="480" w:firstLineChars="200"/>
        <w:rPr>
          <w:color w:val="000000"/>
          <w:sz w:val="24"/>
        </w:rPr>
      </w:pPr>
      <w:r>
        <w:rPr>
          <w:color w:val="000000"/>
          <w:sz w:val="24"/>
        </w:rPr>
        <w:t>环境目标优先保护次序如下：</w:t>
      </w:r>
    </w:p>
    <w:p>
      <w:pPr>
        <w:spacing w:line="440" w:lineRule="exact"/>
        <w:ind w:firstLine="480" w:firstLineChars="200"/>
        <w:rPr>
          <w:color w:val="000000"/>
          <w:sz w:val="24"/>
        </w:rPr>
      </w:pPr>
      <w:r>
        <w:rPr>
          <w:rFonts w:asciiTheme="minorEastAsia" w:hAnsiTheme="minorEastAsia" w:eastAsiaTheme="minorEastAsia"/>
          <w:color w:val="000000"/>
          <w:sz w:val="24"/>
        </w:rPr>
        <w:t>(</w:t>
      </w:r>
      <w:r>
        <w:rPr>
          <w:rFonts w:eastAsiaTheme="minorEastAsia"/>
          <w:color w:val="000000"/>
          <w:sz w:val="24"/>
        </w:rPr>
        <w:t>1</w:t>
      </w:r>
      <w:r>
        <w:rPr>
          <w:rFonts w:asciiTheme="minorEastAsia" w:hAnsiTheme="minorEastAsia" w:eastAsiaTheme="minorEastAsia"/>
          <w:color w:val="000000"/>
          <w:sz w:val="24"/>
        </w:rPr>
        <w:t>)</w:t>
      </w:r>
      <w:r>
        <w:rPr>
          <w:color w:val="000000"/>
          <w:sz w:val="24"/>
        </w:rPr>
        <w:t>周围居民；</w:t>
      </w:r>
    </w:p>
    <w:p>
      <w:pPr>
        <w:spacing w:line="440" w:lineRule="exact"/>
        <w:ind w:firstLine="480" w:firstLineChars="200"/>
        <w:rPr>
          <w:color w:val="000000"/>
          <w:sz w:val="24"/>
        </w:rPr>
      </w:pPr>
      <w:r>
        <w:rPr>
          <w:rFonts w:asciiTheme="minorEastAsia" w:hAnsiTheme="minorEastAsia" w:eastAsiaTheme="minorEastAsia"/>
          <w:color w:val="000000"/>
          <w:sz w:val="24"/>
        </w:rPr>
        <w:t>(</w:t>
      </w:r>
      <w:r>
        <w:rPr>
          <w:rFonts w:eastAsiaTheme="minorEastAsia"/>
          <w:color w:val="000000"/>
          <w:sz w:val="24"/>
        </w:rPr>
        <w:t>2</w:t>
      </w:r>
      <w:r>
        <w:rPr>
          <w:rFonts w:asciiTheme="minorEastAsia" w:hAnsiTheme="minorEastAsia" w:eastAsiaTheme="minorEastAsia"/>
          <w:color w:val="000000"/>
          <w:sz w:val="24"/>
        </w:rPr>
        <w:t>)</w:t>
      </w:r>
      <w:r>
        <w:rPr>
          <w:rFonts w:hint="eastAsia"/>
          <w:color w:val="FF0000"/>
          <w:sz w:val="24"/>
        </w:rPr>
        <w:t>加油站</w:t>
      </w:r>
      <w:r>
        <w:rPr>
          <w:color w:val="000000"/>
          <w:sz w:val="24"/>
        </w:rPr>
        <w:t>外围的其他单位。</w:t>
      </w:r>
    </w:p>
    <w:p>
      <w:pPr>
        <w:spacing w:before="60" w:after="60" w:line="500" w:lineRule="exact"/>
        <w:outlineLvl w:val="1"/>
        <w:rPr>
          <w:rFonts w:eastAsia="黑体"/>
          <w:b/>
          <w:snapToGrid w:val="0"/>
          <w:color w:val="000000" w:themeColor="text1"/>
          <w:spacing w:val="4"/>
          <w:kern w:val="0"/>
          <w:sz w:val="28"/>
          <w:szCs w:val="30"/>
          <w14:textFill>
            <w14:solidFill>
              <w14:schemeClr w14:val="tx1"/>
            </w14:solidFill>
          </w14:textFill>
        </w:rPr>
      </w:pPr>
      <w:bookmarkStart w:id="214" w:name="_Toc10105691"/>
      <w:bookmarkStart w:id="215" w:name="_Toc484164006"/>
      <w:bookmarkStart w:id="216" w:name="_Toc465957499"/>
      <w:r>
        <w:rPr>
          <w:rFonts w:eastAsia="黑体"/>
          <w:b/>
          <w:snapToGrid w:val="0"/>
          <w:color w:val="000000" w:themeColor="text1"/>
          <w:spacing w:val="4"/>
          <w:kern w:val="0"/>
          <w:sz w:val="28"/>
          <w:szCs w:val="30"/>
          <w14:textFill>
            <w14:solidFill>
              <w14:schemeClr w14:val="tx1"/>
            </w14:solidFill>
          </w14:textFill>
        </w:rPr>
        <w:t>7.3现场处置措施</w:t>
      </w:r>
      <w:bookmarkEnd w:id="214"/>
      <w:bookmarkEnd w:id="215"/>
      <w:bookmarkEnd w:id="216"/>
    </w:p>
    <w:p>
      <w:pPr>
        <w:keepNext/>
        <w:keepLines/>
        <w:spacing w:line="480" w:lineRule="exact"/>
        <w:outlineLvl w:val="2"/>
        <w:rPr>
          <w:b/>
          <w:bCs/>
          <w:snapToGrid w:val="0"/>
          <w:sz w:val="24"/>
        </w:rPr>
      </w:pPr>
      <w:bookmarkStart w:id="217" w:name="_Toc31678"/>
      <w:bookmarkStart w:id="218" w:name="_Toc23715"/>
      <w:r>
        <w:rPr>
          <w:b/>
          <w:bCs/>
          <w:snapToGrid w:val="0"/>
          <w:sz w:val="24"/>
        </w:rPr>
        <w:t>7.3.1加油区现场处置措施</w:t>
      </w:r>
    </w:p>
    <w:p>
      <w:pPr>
        <w:spacing w:line="480" w:lineRule="exact"/>
        <w:ind w:firstLine="480" w:firstLineChars="200"/>
        <w:rPr>
          <w:sz w:val="24"/>
        </w:rPr>
      </w:pPr>
      <w:r>
        <w:rPr>
          <w:rFonts w:hint="eastAsia"/>
          <w:sz w:val="24"/>
        </w:rPr>
        <w:t>1、储罐泄漏事故应急措施</w:t>
      </w:r>
    </w:p>
    <w:p>
      <w:pPr>
        <w:spacing w:line="480" w:lineRule="exact"/>
        <w:ind w:firstLine="480" w:firstLineChars="200"/>
        <w:rPr>
          <w:sz w:val="24"/>
        </w:rPr>
      </w:pPr>
      <w:r>
        <w:rPr>
          <w:rFonts w:hint="eastAsia"/>
          <w:sz w:val="24"/>
        </w:rPr>
        <w:t>（1）泄漏源控制</w:t>
      </w:r>
    </w:p>
    <w:p>
      <w:pPr>
        <w:spacing w:line="480" w:lineRule="exact"/>
        <w:ind w:firstLine="480" w:firstLineChars="200"/>
        <w:rPr>
          <w:sz w:val="24"/>
        </w:rPr>
      </w:pPr>
      <w:r>
        <w:rPr>
          <w:rFonts w:hint="eastAsia"/>
          <w:sz w:val="24"/>
        </w:rPr>
        <w:t xml:space="preserve">①泄漏时，关闭相关储罐、管线、阀门，启用应急物资进行堵漏，使用防爆工具进行维修，可用消防砂等进行围堵，吸附棉进行收集； </w:t>
      </w:r>
    </w:p>
    <w:p>
      <w:pPr>
        <w:spacing w:line="480" w:lineRule="exact"/>
        <w:ind w:firstLine="480" w:firstLineChars="200"/>
        <w:rPr>
          <w:sz w:val="24"/>
        </w:rPr>
      </w:pPr>
      <w:r>
        <w:rPr>
          <w:rFonts w:hint="eastAsia"/>
          <w:sz w:val="24"/>
        </w:rPr>
        <w:t>②工艺输油路线阀门关闭，岗位操作人员要立即通知当班班长并上报应急办公室，同时疏散可能遭到泄漏波及的岗位人员。</w:t>
      </w:r>
    </w:p>
    <w:p>
      <w:pPr>
        <w:spacing w:line="480" w:lineRule="exact"/>
        <w:ind w:firstLine="480" w:firstLineChars="200"/>
        <w:rPr>
          <w:sz w:val="24"/>
        </w:rPr>
      </w:pPr>
      <w:r>
        <w:rPr>
          <w:rFonts w:hint="eastAsia"/>
          <w:sz w:val="24"/>
        </w:rPr>
        <w:t>③指挥部根据事故情况启动相应程序，事故抢修应急工作组人员戴呼吸器，穿工作服迅速进入危险区域确认泄漏处的形状、大小、流速及主要的流散方向。</w:t>
      </w:r>
    </w:p>
    <w:p>
      <w:pPr>
        <w:spacing w:line="480" w:lineRule="exact"/>
        <w:ind w:firstLine="480" w:firstLineChars="200"/>
        <w:rPr>
          <w:sz w:val="24"/>
        </w:rPr>
      </w:pPr>
      <w:r>
        <w:rPr>
          <w:rFonts w:hint="eastAsia"/>
          <w:sz w:val="24"/>
        </w:rPr>
        <w:t>④事故抢修应急工作组人员采用合适的材料和技术手段堵住泄漏处。如：利用钉木楔、胶塞（或球胆）堵、抱箍打卡子等方法处理泄漏点。</w:t>
      </w:r>
    </w:p>
    <w:p>
      <w:pPr>
        <w:spacing w:line="480" w:lineRule="exact"/>
        <w:ind w:firstLine="480" w:firstLineChars="200"/>
        <w:rPr>
          <w:sz w:val="24"/>
        </w:rPr>
      </w:pPr>
      <w:r>
        <w:rPr>
          <w:rFonts w:hint="eastAsia"/>
          <w:sz w:val="24"/>
        </w:rPr>
        <w:t>⑤应急专家组协助监测部门负责现场及周边污染情况监测、调查，将污染情况及时反馈到指挥部，由指挥部根据情况通知周围受污染区域职工，组织好安全撤离。</w:t>
      </w:r>
    </w:p>
    <w:p>
      <w:pPr>
        <w:spacing w:line="480" w:lineRule="exact"/>
        <w:ind w:firstLine="480" w:firstLineChars="200"/>
        <w:rPr>
          <w:sz w:val="24"/>
        </w:rPr>
      </w:pPr>
      <w:r>
        <w:rPr>
          <w:sz w:val="24"/>
        </w:rPr>
        <w:t>（2）</w:t>
      </w:r>
      <w:r>
        <w:rPr>
          <w:rFonts w:hint="eastAsia"/>
          <w:sz w:val="24"/>
        </w:rPr>
        <w:t>储罐泄露，关闭工艺输油路线阀门，将罐内油品抽出，倒罐、清罐；现场操作人员必须佩戴防护器具。</w:t>
      </w:r>
    </w:p>
    <w:p>
      <w:pPr>
        <w:spacing w:line="480" w:lineRule="exact"/>
        <w:ind w:firstLine="480" w:firstLineChars="200"/>
        <w:rPr>
          <w:sz w:val="24"/>
        </w:rPr>
      </w:pPr>
      <w:r>
        <w:rPr>
          <w:rFonts w:hint="eastAsia"/>
          <w:sz w:val="24"/>
        </w:rPr>
        <w:t>2、油罐发生火灾、爆炸事故应急措施</w:t>
      </w:r>
    </w:p>
    <w:p>
      <w:pPr>
        <w:spacing w:line="480" w:lineRule="exact"/>
        <w:ind w:firstLine="480" w:firstLineChars="200"/>
        <w:rPr>
          <w:sz w:val="24"/>
        </w:rPr>
      </w:pPr>
      <w:r>
        <w:rPr>
          <w:rFonts w:hint="eastAsia"/>
          <w:sz w:val="24"/>
        </w:rPr>
        <w:t>油品储罐主要有汽油储罐，在物料的储存和输送过程中可能发生泄漏、火灾、爆炸等事故。储罐区、加油区放置灭火器。</w:t>
      </w:r>
    </w:p>
    <w:p>
      <w:pPr>
        <w:spacing w:line="480" w:lineRule="exact"/>
        <w:ind w:firstLine="480" w:firstLineChars="200"/>
        <w:rPr>
          <w:sz w:val="24"/>
        </w:rPr>
      </w:pPr>
      <w:r>
        <w:rPr>
          <w:rFonts w:hint="eastAsia"/>
          <w:sz w:val="24"/>
        </w:rPr>
        <w:t>发生事故后，启动《生产安全事故综合应急预案》，迅速撤离泄漏污染区人员至上风处，严格限制出入。切断火源和泄漏源，应急处理人员戴自给正压式呼吸器，穿防静电工作服。尽可能切断泄漏源。</w:t>
      </w:r>
    </w:p>
    <w:p>
      <w:pPr>
        <w:spacing w:line="480" w:lineRule="exact"/>
        <w:ind w:firstLine="480" w:firstLineChars="200"/>
        <w:rPr>
          <w:sz w:val="24"/>
        </w:rPr>
      </w:pPr>
      <w:r>
        <w:rPr>
          <w:rFonts w:hint="eastAsia"/>
          <w:sz w:val="24"/>
        </w:rPr>
        <w:t>（1）小型火灾用消防沙覆盖灭火。</w:t>
      </w:r>
    </w:p>
    <w:p>
      <w:pPr>
        <w:spacing w:line="480" w:lineRule="exact"/>
        <w:ind w:firstLine="480" w:firstLineChars="200"/>
        <w:rPr>
          <w:sz w:val="24"/>
        </w:rPr>
      </w:pPr>
      <w:r>
        <w:rPr>
          <w:rFonts w:hint="eastAsia"/>
          <w:sz w:val="24"/>
        </w:rPr>
        <w:t>（2）采用泡沫消火栓灭火后，地面进行冲洗，冲洗废水暂储存起来，交由危废单位单位处置。</w:t>
      </w:r>
    </w:p>
    <w:p>
      <w:pPr>
        <w:spacing w:line="480" w:lineRule="exact"/>
        <w:ind w:firstLine="480" w:firstLineChars="200"/>
        <w:rPr>
          <w:sz w:val="24"/>
        </w:rPr>
      </w:pPr>
      <w:r>
        <w:rPr>
          <w:rFonts w:hint="eastAsia"/>
          <w:sz w:val="24"/>
        </w:rPr>
        <w:t>（3）灭火结束后按照泄漏处置措施进行堵漏。</w:t>
      </w:r>
    </w:p>
    <w:p>
      <w:pPr>
        <w:keepNext/>
        <w:keepLines/>
        <w:spacing w:line="480" w:lineRule="exact"/>
        <w:outlineLvl w:val="2"/>
        <w:rPr>
          <w:b/>
          <w:bCs/>
          <w:snapToGrid w:val="0"/>
          <w:sz w:val="24"/>
        </w:rPr>
      </w:pPr>
      <w:r>
        <w:rPr>
          <w:rFonts w:hint="eastAsia"/>
          <w:b/>
          <w:bCs/>
          <w:snapToGrid w:val="0"/>
          <w:sz w:val="24"/>
        </w:rPr>
        <w:t>7.</w:t>
      </w:r>
      <w:r>
        <w:rPr>
          <w:b/>
          <w:bCs/>
          <w:snapToGrid w:val="0"/>
          <w:sz w:val="24"/>
        </w:rPr>
        <w:t>3</w:t>
      </w:r>
      <w:r>
        <w:rPr>
          <w:rFonts w:hint="eastAsia"/>
          <w:b/>
          <w:bCs/>
          <w:snapToGrid w:val="0"/>
          <w:sz w:val="24"/>
        </w:rPr>
        <w:t>.2加油区火灾事故处置措施</w:t>
      </w:r>
    </w:p>
    <w:p>
      <w:pPr>
        <w:spacing w:line="480" w:lineRule="exact"/>
        <w:ind w:firstLine="480" w:firstLineChars="200"/>
        <w:rPr>
          <w:sz w:val="24"/>
        </w:rPr>
      </w:pPr>
      <w:r>
        <w:rPr>
          <w:rFonts w:hint="eastAsia"/>
          <w:sz w:val="24"/>
        </w:rPr>
        <w:t>停止受事故影响的生产作业，采取相应的措施切断泄漏管线与其他设备的联系，对管线进行泄压处理，关闭泄漏管线上下游阀门，将泄漏管线隔离。</w:t>
      </w:r>
    </w:p>
    <w:p>
      <w:pPr>
        <w:spacing w:line="480" w:lineRule="exact"/>
        <w:ind w:firstLine="480" w:firstLineChars="200"/>
        <w:rPr>
          <w:sz w:val="24"/>
        </w:rPr>
      </w:pPr>
      <w:r>
        <w:rPr>
          <w:rFonts w:hint="eastAsia"/>
          <w:sz w:val="24"/>
        </w:rPr>
        <w:t>现场立即警戒布控，停止一切动火作业，立即切断事故周围高、低压电源，防治火灾发生。</w:t>
      </w:r>
    </w:p>
    <w:p>
      <w:pPr>
        <w:spacing w:line="480" w:lineRule="exact"/>
        <w:ind w:firstLine="480" w:firstLineChars="200"/>
        <w:rPr>
          <w:sz w:val="24"/>
        </w:rPr>
      </w:pPr>
      <w:r>
        <w:rPr>
          <w:rFonts w:hint="eastAsia"/>
          <w:sz w:val="24"/>
        </w:rPr>
        <w:t>利用消防沙做好临时土坝，防治成品油漫流，对泄漏设备设施堵漏，控制泄漏，减少泄漏量，做好漏油设备的堵漏工作。</w:t>
      </w:r>
    </w:p>
    <w:p>
      <w:pPr>
        <w:spacing w:line="480" w:lineRule="exact"/>
        <w:ind w:firstLine="480" w:firstLineChars="200"/>
        <w:rPr>
          <w:sz w:val="24"/>
        </w:rPr>
      </w:pPr>
      <w:r>
        <w:rPr>
          <w:rFonts w:hint="eastAsia"/>
          <w:sz w:val="24"/>
        </w:rPr>
        <w:t>对泄露油品，使用吸油毡、消防沙、铜铝质容器等回收，进行处理。</w:t>
      </w:r>
    </w:p>
    <w:p>
      <w:pPr>
        <w:spacing w:line="480" w:lineRule="exact"/>
        <w:ind w:firstLine="482" w:firstLineChars="200"/>
        <w:rPr>
          <w:b/>
          <w:sz w:val="24"/>
        </w:rPr>
      </w:pPr>
      <w:r>
        <w:rPr>
          <w:rFonts w:hint="eastAsia"/>
          <w:b/>
          <w:sz w:val="24"/>
        </w:rPr>
        <w:t>应急处置措施：</w:t>
      </w:r>
    </w:p>
    <w:p>
      <w:pPr>
        <w:spacing w:line="480" w:lineRule="exact"/>
        <w:ind w:firstLine="480" w:firstLineChars="200"/>
        <w:rPr>
          <w:sz w:val="24"/>
        </w:rPr>
      </w:pPr>
      <w:r>
        <w:rPr>
          <w:rFonts w:hint="eastAsia"/>
          <w:sz w:val="24"/>
        </w:rPr>
        <w:t>（1）现场灌装人员立即停止作业和关闭与该管线相联阀门。抢险救援人员佩戴好防护用品，防爆工具等，对罐车进行检查，采取措施封闭泄漏点。</w:t>
      </w:r>
    </w:p>
    <w:p>
      <w:pPr>
        <w:spacing w:line="480" w:lineRule="exact"/>
        <w:ind w:firstLine="480" w:firstLineChars="200"/>
        <w:rPr>
          <w:sz w:val="24"/>
        </w:rPr>
      </w:pPr>
      <w:r>
        <w:rPr>
          <w:rFonts w:hint="eastAsia"/>
          <w:sz w:val="24"/>
        </w:rPr>
        <w:t>（2）相关人员组织封锁泄漏地点周围交通，封堵周边下水通道，停止周围一切明火及防止静电。</w:t>
      </w:r>
    </w:p>
    <w:p>
      <w:pPr>
        <w:spacing w:line="480" w:lineRule="exact"/>
        <w:ind w:firstLine="480" w:firstLineChars="200"/>
        <w:rPr>
          <w:sz w:val="24"/>
        </w:rPr>
      </w:pPr>
      <w:r>
        <w:rPr>
          <w:rFonts w:hint="eastAsia"/>
          <w:sz w:val="24"/>
        </w:rPr>
        <w:t>（3）抢险救援人员佩戴好防护用品，视泄漏情况，进行堵漏和灭火。</w:t>
      </w:r>
    </w:p>
    <w:p>
      <w:pPr>
        <w:spacing w:line="480" w:lineRule="exact"/>
        <w:ind w:firstLine="480" w:firstLineChars="200"/>
        <w:rPr>
          <w:sz w:val="24"/>
        </w:rPr>
      </w:pPr>
      <w:r>
        <w:rPr>
          <w:rFonts w:hint="eastAsia"/>
          <w:sz w:val="24"/>
        </w:rPr>
        <w:t>（4）灭火后对地面进行冲洗，收集进行处理。</w:t>
      </w:r>
    </w:p>
    <w:p>
      <w:pPr>
        <w:spacing w:line="480" w:lineRule="exact"/>
        <w:ind w:firstLine="480" w:firstLineChars="200"/>
        <w:rPr>
          <w:sz w:val="24"/>
        </w:rPr>
      </w:pPr>
      <w:r>
        <w:rPr>
          <w:rFonts w:hint="eastAsia"/>
          <w:sz w:val="24"/>
        </w:rPr>
        <w:t>（5）现场监测组监测现场可燃气体浓度和扩散情况，根据当时气象条件作出可燃气体在扩散方向。</w:t>
      </w:r>
    </w:p>
    <w:p>
      <w:pPr>
        <w:spacing w:line="480" w:lineRule="exact"/>
        <w:ind w:firstLine="480" w:firstLineChars="200"/>
        <w:rPr>
          <w:sz w:val="24"/>
        </w:rPr>
      </w:pPr>
      <w:r>
        <w:rPr>
          <w:rFonts w:hint="eastAsia"/>
          <w:sz w:val="24"/>
        </w:rPr>
        <w:t>（6）当事故状态得到控制，对设备、排污状况进行认真检查，确认事故隐患已经消除，并检查事故池是否有外排的现象。</w:t>
      </w:r>
    </w:p>
    <w:p>
      <w:pPr>
        <w:spacing w:line="480" w:lineRule="exact"/>
        <w:ind w:firstLine="480" w:firstLineChars="200"/>
        <w:rPr>
          <w:sz w:val="24"/>
        </w:rPr>
      </w:pPr>
      <w:r>
        <w:rPr>
          <w:rFonts w:hint="eastAsia"/>
          <w:sz w:val="24"/>
        </w:rPr>
        <w:t>（7）根据情况及时切断加热源、及时切断电源，及时切断物料输送源。尽量将事故缩小至可控范围内，以免引发连锁反应，引起重大事故。</w:t>
      </w:r>
    </w:p>
    <w:p>
      <w:pPr>
        <w:spacing w:line="480" w:lineRule="exact"/>
        <w:ind w:firstLine="480" w:firstLineChars="200"/>
        <w:rPr>
          <w:sz w:val="24"/>
        </w:rPr>
      </w:pPr>
      <w:r>
        <w:rPr>
          <w:rFonts w:hint="eastAsia"/>
          <w:sz w:val="24"/>
        </w:rPr>
        <w:t>（8）在应急指挥中心和现场指挥部的指令下，由污染处置组，进行现场污染清理。</w:t>
      </w:r>
    </w:p>
    <w:p>
      <w:pPr>
        <w:spacing w:line="480" w:lineRule="exact"/>
        <w:ind w:firstLine="480" w:firstLineChars="200"/>
        <w:rPr>
          <w:sz w:val="24"/>
        </w:rPr>
      </w:pPr>
      <w:r>
        <w:rPr>
          <w:rFonts w:hint="eastAsia"/>
          <w:sz w:val="24"/>
        </w:rPr>
        <w:t>（9）事故结束后，组成污染评估和事故调查小组，调查事故原因，研究制定处置和防范措施，进行现场监测，防止引发次生环境事件。</w:t>
      </w:r>
    </w:p>
    <w:p>
      <w:pPr>
        <w:keepNext/>
        <w:keepLines/>
        <w:spacing w:line="480" w:lineRule="exact"/>
        <w:outlineLvl w:val="2"/>
        <w:rPr>
          <w:b/>
          <w:bCs/>
          <w:snapToGrid w:val="0"/>
          <w:sz w:val="24"/>
        </w:rPr>
      </w:pPr>
      <w:r>
        <w:rPr>
          <w:rFonts w:hint="eastAsia"/>
          <w:b/>
          <w:bCs/>
          <w:snapToGrid w:val="0"/>
          <w:sz w:val="24"/>
        </w:rPr>
        <w:t>7.</w:t>
      </w:r>
      <w:r>
        <w:rPr>
          <w:b/>
          <w:bCs/>
          <w:snapToGrid w:val="0"/>
          <w:sz w:val="24"/>
        </w:rPr>
        <w:t>3</w:t>
      </w:r>
      <w:r>
        <w:rPr>
          <w:rFonts w:hint="eastAsia"/>
          <w:b/>
          <w:bCs/>
          <w:snapToGrid w:val="0"/>
          <w:sz w:val="24"/>
        </w:rPr>
        <w:t>.3油气回收装置</w:t>
      </w:r>
    </w:p>
    <w:p>
      <w:pPr>
        <w:spacing w:line="480" w:lineRule="exact"/>
        <w:ind w:firstLine="480" w:firstLineChars="200"/>
        <w:rPr>
          <w:sz w:val="24"/>
        </w:rPr>
      </w:pPr>
      <w:r>
        <w:rPr>
          <w:rFonts w:hint="eastAsia"/>
          <w:sz w:val="24"/>
        </w:rPr>
        <w:t>该单元油气只是物理输送过程和物理溶解过程，不存在化学反应。油气回收装置区安装可燃气体报警器，一旦发生故障，可燃气体报警，工作人员立即停止汽油付油作业。</w:t>
      </w:r>
    </w:p>
    <w:p>
      <w:pPr>
        <w:spacing w:line="480" w:lineRule="exact"/>
        <w:ind w:firstLine="480" w:firstLineChars="200"/>
        <w:rPr>
          <w:sz w:val="24"/>
        </w:rPr>
      </w:pPr>
      <w:r>
        <w:rPr>
          <w:rFonts w:hint="eastAsia"/>
          <w:sz w:val="24"/>
        </w:rPr>
        <w:t>发生少量泄露，用吸附棉对油品进行吸附。救援人员需配备个人防护用品。</w:t>
      </w:r>
    </w:p>
    <w:p>
      <w:pPr>
        <w:spacing w:line="480" w:lineRule="exact"/>
        <w:ind w:firstLine="480" w:firstLineChars="200"/>
        <w:rPr>
          <w:sz w:val="24"/>
        </w:rPr>
      </w:pPr>
      <w:r>
        <w:rPr>
          <w:rFonts w:hint="eastAsia"/>
          <w:sz w:val="24"/>
        </w:rPr>
        <w:t>发生火灾爆炸时，用消火栓进行灭火，启动《生产安全事故综合应急预案》。</w:t>
      </w:r>
    </w:p>
    <w:p>
      <w:pPr>
        <w:spacing w:line="480" w:lineRule="exact"/>
        <w:ind w:firstLine="480" w:firstLineChars="200"/>
        <w:rPr>
          <w:sz w:val="24"/>
        </w:rPr>
      </w:pPr>
      <w:r>
        <w:rPr>
          <w:rFonts w:hint="eastAsia"/>
          <w:sz w:val="24"/>
        </w:rPr>
        <w:t>应急处置严禁单独行动，防止泄漏物向重点目标扩撒，采用防爆工具等进行堵漏。</w:t>
      </w:r>
    </w:p>
    <w:p>
      <w:pPr>
        <w:spacing w:line="460" w:lineRule="exact"/>
        <w:ind w:firstLine="422" w:firstLineChars="200"/>
        <w:jc w:val="center"/>
        <w:rPr>
          <w:b/>
          <w:bCs/>
          <w:color w:val="000000"/>
          <w:szCs w:val="21"/>
        </w:rPr>
      </w:pPr>
      <w:r>
        <w:rPr>
          <w:b/>
          <w:bCs/>
          <w:color w:val="000000"/>
          <w:szCs w:val="21"/>
        </w:rPr>
        <w:t>表7</w:t>
      </w:r>
      <w:r>
        <w:rPr>
          <w:rFonts w:hint="eastAsia"/>
          <w:b/>
          <w:bCs/>
          <w:color w:val="000000"/>
          <w:szCs w:val="21"/>
        </w:rPr>
        <w:t>.</w:t>
      </w:r>
      <w:r>
        <w:rPr>
          <w:b/>
          <w:bCs/>
          <w:color w:val="000000"/>
          <w:szCs w:val="21"/>
        </w:rPr>
        <w:t>3-1  一般容器泄漏堵漏方法</w:t>
      </w:r>
    </w:p>
    <w:tbl>
      <w:tblPr>
        <w:tblStyle w:val="31"/>
        <w:tblW w:w="884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008"/>
        <w:gridCol w:w="968"/>
        <w:gridCol w:w="6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40" w:hRule="atLeast"/>
          <w:jc w:val="center"/>
        </w:trPr>
        <w:tc>
          <w:tcPr>
            <w:tcW w:w="1008" w:type="dxa"/>
            <w:vAlign w:val="center"/>
          </w:tcPr>
          <w:p>
            <w:pPr>
              <w:adjustRightInd w:val="0"/>
              <w:snapToGrid w:val="0"/>
              <w:spacing w:line="320" w:lineRule="exact"/>
              <w:jc w:val="center"/>
              <w:rPr>
                <w:szCs w:val="21"/>
              </w:rPr>
            </w:pPr>
            <w:r>
              <w:rPr>
                <w:rFonts w:hint="eastAsia"/>
                <w:szCs w:val="21"/>
              </w:rPr>
              <w:t>部位</w:t>
            </w:r>
          </w:p>
        </w:tc>
        <w:tc>
          <w:tcPr>
            <w:tcW w:w="968" w:type="dxa"/>
            <w:vAlign w:val="center"/>
          </w:tcPr>
          <w:p>
            <w:pPr>
              <w:adjustRightInd w:val="0"/>
              <w:snapToGrid w:val="0"/>
              <w:spacing w:line="320" w:lineRule="exact"/>
              <w:jc w:val="center"/>
              <w:rPr>
                <w:szCs w:val="21"/>
              </w:rPr>
            </w:pPr>
            <w:r>
              <w:rPr>
                <w:rFonts w:hint="eastAsia"/>
                <w:szCs w:val="21"/>
              </w:rPr>
              <w:t>形式</w:t>
            </w:r>
          </w:p>
        </w:tc>
        <w:tc>
          <w:tcPr>
            <w:tcW w:w="6868" w:type="dxa"/>
            <w:vAlign w:val="center"/>
          </w:tcPr>
          <w:p>
            <w:pPr>
              <w:adjustRightInd w:val="0"/>
              <w:snapToGrid w:val="0"/>
              <w:spacing w:line="320" w:lineRule="exact"/>
              <w:jc w:val="center"/>
              <w:rPr>
                <w:szCs w:val="21"/>
              </w:rPr>
            </w:pPr>
            <w:r>
              <w:rPr>
                <w:rFonts w:hint="eastAsia"/>
                <w:szCs w:val="21"/>
              </w:rPr>
              <w:t>方    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40" w:hRule="atLeast"/>
          <w:jc w:val="center"/>
        </w:trPr>
        <w:tc>
          <w:tcPr>
            <w:tcW w:w="1008" w:type="dxa"/>
            <w:vMerge w:val="restart"/>
            <w:vAlign w:val="center"/>
          </w:tcPr>
          <w:p>
            <w:pPr>
              <w:adjustRightInd w:val="0"/>
              <w:snapToGrid w:val="0"/>
              <w:spacing w:line="320" w:lineRule="exact"/>
              <w:jc w:val="center"/>
              <w:rPr>
                <w:szCs w:val="21"/>
              </w:rPr>
            </w:pPr>
            <w:r>
              <w:rPr>
                <w:rFonts w:hint="eastAsia"/>
                <w:szCs w:val="21"/>
              </w:rPr>
              <w:t>罐</w:t>
            </w:r>
            <w:r>
              <w:rPr>
                <w:rFonts w:hint="eastAsia" w:ascii="宋体" w:hAnsi="宋体"/>
                <w:szCs w:val="21"/>
              </w:rPr>
              <w:t>(</w:t>
            </w:r>
            <w:r>
              <w:rPr>
                <w:rFonts w:hint="eastAsia"/>
                <w:szCs w:val="21"/>
              </w:rPr>
              <w:t>柜</w:t>
            </w:r>
            <w:r>
              <w:rPr>
                <w:rFonts w:hint="eastAsia" w:ascii="宋体" w:hAnsi="宋体"/>
                <w:szCs w:val="21"/>
              </w:rPr>
              <w:t>)</w:t>
            </w:r>
            <w:r>
              <w:rPr>
                <w:rFonts w:hint="eastAsia"/>
                <w:szCs w:val="21"/>
              </w:rPr>
              <w:t>体</w:t>
            </w:r>
          </w:p>
        </w:tc>
        <w:tc>
          <w:tcPr>
            <w:tcW w:w="968" w:type="dxa"/>
            <w:vAlign w:val="center"/>
          </w:tcPr>
          <w:p>
            <w:pPr>
              <w:adjustRightInd w:val="0"/>
              <w:snapToGrid w:val="0"/>
              <w:spacing w:line="320" w:lineRule="exact"/>
              <w:jc w:val="center"/>
              <w:rPr>
                <w:szCs w:val="21"/>
              </w:rPr>
            </w:pPr>
            <w:r>
              <w:rPr>
                <w:rFonts w:hint="eastAsia"/>
                <w:szCs w:val="21"/>
              </w:rPr>
              <w:t>砂眼</w:t>
            </w:r>
          </w:p>
        </w:tc>
        <w:tc>
          <w:tcPr>
            <w:tcW w:w="6868" w:type="dxa"/>
            <w:vAlign w:val="center"/>
          </w:tcPr>
          <w:p>
            <w:pPr>
              <w:adjustRightInd w:val="0"/>
              <w:snapToGrid w:val="0"/>
              <w:spacing w:line="320" w:lineRule="exact"/>
              <w:jc w:val="center"/>
              <w:rPr>
                <w:szCs w:val="21"/>
              </w:rPr>
            </w:pPr>
            <w:r>
              <w:rPr>
                <w:rFonts w:hint="eastAsia"/>
                <w:szCs w:val="21"/>
              </w:rPr>
              <w:t>使用螺丝加粘合剂旋进堵漏。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40" w:hRule="atLeast"/>
          <w:jc w:val="center"/>
        </w:trPr>
        <w:tc>
          <w:tcPr>
            <w:tcW w:w="1008" w:type="dxa"/>
            <w:vMerge w:val="continue"/>
            <w:vAlign w:val="center"/>
          </w:tcPr>
          <w:p>
            <w:pPr>
              <w:adjustRightInd w:val="0"/>
              <w:snapToGrid w:val="0"/>
              <w:spacing w:line="320" w:lineRule="exact"/>
              <w:jc w:val="center"/>
              <w:rPr>
                <w:szCs w:val="21"/>
              </w:rPr>
            </w:pPr>
          </w:p>
        </w:tc>
        <w:tc>
          <w:tcPr>
            <w:tcW w:w="968" w:type="dxa"/>
            <w:vAlign w:val="center"/>
          </w:tcPr>
          <w:p>
            <w:pPr>
              <w:adjustRightInd w:val="0"/>
              <w:snapToGrid w:val="0"/>
              <w:spacing w:line="320" w:lineRule="exact"/>
              <w:jc w:val="center"/>
              <w:rPr>
                <w:szCs w:val="21"/>
              </w:rPr>
            </w:pPr>
            <w:r>
              <w:rPr>
                <w:rFonts w:hint="eastAsia"/>
                <w:szCs w:val="21"/>
              </w:rPr>
              <w:t>缝隙</w:t>
            </w:r>
          </w:p>
        </w:tc>
        <w:tc>
          <w:tcPr>
            <w:tcW w:w="6868" w:type="dxa"/>
            <w:vAlign w:val="center"/>
          </w:tcPr>
          <w:p>
            <w:pPr>
              <w:adjustRightInd w:val="0"/>
              <w:snapToGrid w:val="0"/>
              <w:spacing w:line="320" w:lineRule="exact"/>
              <w:jc w:val="center"/>
              <w:rPr>
                <w:szCs w:val="21"/>
              </w:rPr>
            </w:pPr>
            <w:r>
              <w:rPr>
                <w:rFonts w:hint="eastAsia"/>
                <w:szCs w:val="21"/>
              </w:rPr>
              <w:t>使用外封式堵漏袋、电磁式堵漏工具组、潮湿绷带冷凝法或堵漏夹具、金属堵漏锥堵漏。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40" w:hRule="atLeast"/>
          <w:jc w:val="center"/>
        </w:trPr>
        <w:tc>
          <w:tcPr>
            <w:tcW w:w="1008" w:type="dxa"/>
            <w:vMerge w:val="continue"/>
            <w:vAlign w:val="center"/>
          </w:tcPr>
          <w:p>
            <w:pPr>
              <w:adjustRightInd w:val="0"/>
              <w:snapToGrid w:val="0"/>
              <w:spacing w:line="320" w:lineRule="exact"/>
              <w:jc w:val="center"/>
              <w:rPr>
                <w:szCs w:val="21"/>
              </w:rPr>
            </w:pPr>
          </w:p>
        </w:tc>
        <w:tc>
          <w:tcPr>
            <w:tcW w:w="968" w:type="dxa"/>
            <w:vAlign w:val="center"/>
          </w:tcPr>
          <w:p>
            <w:pPr>
              <w:adjustRightInd w:val="0"/>
              <w:snapToGrid w:val="0"/>
              <w:spacing w:line="320" w:lineRule="exact"/>
              <w:jc w:val="center"/>
              <w:rPr>
                <w:szCs w:val="21"/>
              </w:rPr>
            </w:pPr>
            <w:r>
              <w:rPr>
                <w:rFonts w:hint="eastAsia"/>
                <w:szCs w:val="21"/>
              </w:rPr>
              <w:t>孔洞</w:t>
            </w:r>
          </w:p>
        </w:tc>
        <w:tc>
          <w:tcPr>
            <w:tcW w:w="6868" w:type="dxa"/>
            <w:vAlign w:val="center"/>
          </w:tcPr>
          <w:p>
            <w:pPr>
              <w:adjustRightInd w:val="0"/>
              <w:snapToGrid w:val="0"/>
              <w:spacing w:line="320" w:lineRule="exact"/>
              <w:jc w:val="center"/>
              <w:rPr>
                <w:szCs w:val="21"/>
              </w:rPr>
            </w:pPr>
            <w:r>
              <w:rPr>
                <w:rFonts w:hint="eastAsia"/>
                <w:szCs w:val="21"/>
              </w:rPr>
              <w:t>使用各种木楔、堵漏夹具、金属堵漏锥堵漏。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40" w:hRule="atLeast"/>
          <w:jc w:val="center"/>
        </w:trPr>
        <w:tc>
          <w:tcPr>
            <w:tcW w:w="1008" w:type="dxa"/>
            <w:vMerge w:val="continue"/>
            <w:vAlign w:val="center"/>
          </w:tcPr>
          <w:p>
            <w:pPr>
              <w:adjustRightInd w:val="0"/>
              <w:snapToGrid w:val="0"/>
              <w:spacing w:line="320" w:lineRule="exact"/>
              <w:jc w:val="center"/>
              <w:rPr>
                <w:szCs w:val="21"/>
              </w:rPr>
            </w:pPr>
          </w:p>
        </w:tc>
        <w:tc>
          <w:tcPr>
            <w:tcW w:w="968" w:type="dxa"/>
            <w:vAlign w:val="center"/>
          </w:tcPr>
          <w:p>
            <w:pPr>
              <w:adjustRightInd w:val="0"/>
              <w:snapToGrid w:val="0"/>
              <w:spacing w:line="320" w:lineRule="exact"/>
              <w:jc w:val="center"/>
              <w:rPr>
                <w:szCs w:val="21"/>
              </w:rPr>
            </w:pPr>
            <w:r>
              <w:rPr>
                <w:rFonts w:hint="eastAsia"/>
                <w:szCs w:val="21"/>
              </w:rPr>
              <w:t>裂口</w:t>
            </w:r>
          </w:p>
        </w:tc>
        <w:tc>
          <w:tcPr>
            <w:tcW w:w="6868" w:type="dxa"/>
            <w:vAlign w:val="center"/>
          </w:tcPr>
          <w:p>
            <w:pPr>
              <w:adjustRightInd w:val="0"/>
              <w:snapToGrid w:val="0"/>
              <w:spacing w:line="320" w:lineRule="exact"/>
              <w:jc w:val="center"/>
              <w:rPr>
                <w:szCs w:val="21"/>
              </w:rPr>
            </w:pPr>
            <w:r>
              <w:rPr>
                <w:rFonts w:hint="eastAsia"/>
                <w:szCs w:val="21"/>
              </w:rPr>
              <w:t>使用外封式堵漏袋、电磁式堵漏工具组堵漏。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40" w:hRule="atLeast"/>
          <w:jc w:val="center"/>
        </w:trPr>
        <w:tc>
          <w:tcPr>
            <w:tcW w:w="1008" w:type="dxa"/>
            <w:vMerge w:val="restart"/>
            <w:vAlign w:val="center"/>
          </w:tcPr>
          <w:p>
            <w:pPr>
              <w:adjustRightInd w:val="0"/>
              <w:snapToGrid w:val="0"/>
              <w:spacing w:line="320" w:lineRule="exact"/>
              <w:jc w:val="center"/>
              <w:rPr>
                <w:szCs w:val="21"/>
              </w:rPr>
            </w:pPr>
            <w:r>
              <w:rPr>
                <w:rFonts w:hint="eastAsia"/>
                <w:szCs w:val="21"/>
              </w:rPr>
              <w:t>管道</w:t>
            </w:r>
          </w:p>
        </w:tc>
        <w:tc>
          <w:tcPr>
            <w:tcW w:w="968" w:type="dxa"/>
            <w:vAlign w:val="center"/>
          </w:tcPr>
          <w:p>
            <w:pPr>
              <w:adjustRightInd w:val="0"/>
              <w:snapToGrid w:val="0"/>
              <w:spacing w:line="320" w:lineRule="exact"/>
              <w:jc w:val="center"/>
              <w:rPr>
                <w:szCs w:val="21"/>
              </w:rPr>
            </w:pPr>
            <w:r>
              <w:rPr>
                <w:rFonts w:hint="eastAsia"/>
                <w:szCs w:val="21"/>
              </w:rPr>
              <w:t>砂眼</w:t>
            </w:r>
          </w:p>
        </w:tc>
        <w:tc>
          <w:tcPr>
            <w:tcW w:w="6868" w:type="dxa"/>
            <w:vAlign w:val="center"/>
          </w:tcPr>
          <w:p>
            <w:pPr>
              <w:adjustRightInd w:val="0"/>
              <w:snapToGrid w:val="0"/>
              <w:spacing w:line="320" w:lineRule="exact"/>
              <w:jc w:val="center"/>
              <w:rPr>
                <w:szCs w:val="21"/>
              </w:rPr>
            </w:pPr>
            <w:r>
              <w:rPr>
                <w:rFonts w:hint="eastAsia"/>
                <w:szCs w:val="21"/>
              </w:rPr>
              <w:t>使用螺丝加粘合剂旋进堵漏。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40" w:hRule="atLeast"/>
          <w:jc w:val="center"/>
        </w:trPr>
        <w:tc>
          <w:tcPr>
            <w:tcW w:w="1008" w:type="dxa"/>
            <w:vMerge w:val="continue"/>
            <w:vAlign w:val="center"/>
          </w:tcPr>
          <w:p>
            <w:pPr>
              <w:adjustRightInd w:val="0"/>
              <w:snapToGrid w:val="0"/>
              <w:spacing w:line="320" w:lineRule="exact"/>
              <w:jc w:val="center"/>
              <w:rPr>
                <w:szCs w:val="21"/>
              </w:rPr>
            </w:pPr>
          </w:p>
        </w:tc>
        <w:tc>
          <w:tcPr>
            <w:tcW w:w="968" w:type="dxa"/>
            <w:vAlign w:val="center"/>
          </w:tcPr>
          <w:p>
            <w:pPr>
              <w:adjustRightInd w:val="0"/>
              <w:snapToGrid w:val="0"/>
              <w:spacing w:line="320" w:lineRule="exact"/>
              <w:jc w:val="center"/>
              <w:rPr>
                <w:szCs w:val="21"/>
              </w:rPr>
            </w:pPr>
            <w:r>
              <w:rPr>
                <w:rFonts w:hint="eastAsia"/>
                <w:szCs w:val="21"/>
              </w:rPr>
              <w:t>缝隙</w:t>
            </w:r>
          </w:p>
        </w:tc>
        <w:tc>
          <w:tcPr>
            <w:tcW w:w="6868" w:type="dxa"/>
            <w:vAlign w:val="center"/>
          </w:tcPr>
          <w:p>
            <w:pPr>
              <w:adjustRightInd w:val="0"/>
              <w:snapToGrid w:val="0"/>
              <w:spacing w:line="320" w:lineRule="exact"/>
              <w:jc w:val="center"/>
              <w:rPr>
                <w:szCs w:val="21"/>
              </w:rPr>
            </w:pPr>
            <w:r>
              <w:rPr>
                <w:rFonts w:hint="eastAsia"/>
                <w:szCs w:val="21"/>
              </w:rPr>
              <w:t>使用外封式堵漏袋、金属封堵套管、电磁式堵漏工具组、潮湿绷带冷凝法或堵漏夹具堵漏。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40" w:hRule="atLeast"/>
          <w:jc w:val="center"/>
        </w:trPr>
        <w:tc>
          <w:tcPr>
            <w:tcW w:w="1008" w:type="dxa"/>
            <w:vMerge w:val="continue"/>
            <w:vAlign w:val="center"/>
          </w:tcPr>
          <w:p>
            <w:pPr>
              <w:adjustRightInd w:val="0"/>
              <w:snapToGrid w:val="0"/>
              <w:spacing w:line="320" w:lineRule="exact"/>
              <w:jc w:val="center"/>
              <w:rPr>
                <w:szCs w:val="21"/>
              </w:rPr>
            </w:pPr>
          </w:p>
        </w:tc>
        <w:tc>
          <w:tcPr>
            <w:tcW w:w="968" w:type="dxa"/>
            <w:vAlign w:val="center"/>
          </w:tcPr>
          <w:p>
            <w:pPr>
              <w:adjustRightInd w:val="0"/>
              <w:snapToGrid w:val="0"/>
              <w:spacing w:line="320" w:lineRule="exact"/>
              <w:jc w:val="center"/>
              <w:rPr>
                <w:szCs w:val="21"/>
              </w:rPr>
            </w:pPr>
            <w:r>
              <w:rPr>
                <w:rFonts w:hint="eastAsia"/>
                <w:szCs w:val="21"/>
              </w:rPr>
              <w:t>孔洞</w:t>
            </w:r>
          </w:p>
        </w:tc>
        <w:tc>
          <w:tcPr>
            <w:tcW w:w="6868" w:type="dxa"/>
            <w:vAlign w:val="center"/>
          </w:tcPr>
          <w:p>
            <w:pPr>
              <w:adjustRightInd w:val="0"/>
              <w:snapToGrid w:val="0"/>
              <w:spacing w:line="320" w:lineRule="exact"/>
              <w:jc w:val="center"/>
              <w:rPr>
                <w:szCs w:val="21"/>
              </w:rPr>
            </w:pPr>
            <w:r>
              <w:rPr>
                <w:rFonts w:hint="eastAsia"/>
                <w:szCs w:val="21"/>
              </w:rPr>
              <w:t>使用各种木楔、堵漏夹具堵漏。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40" w:hRule="atLeast"/>
          <w:jc w:val="center"/>
        </w:trPr>
        <w:tc>
          <w:tcPr>
            <w:tcW w:w="1008" w:type="dxa"/>
            <w:vMerge w:val="continue"/>
            <w:vAlign w:val="center"/>
          </w:tcPr>
          <w:p>
            <w:pPr>
              <w:adjustRightInd w:val="0"/>
              <w:snapToGrid w:val="0"/>
              <w:spacing w:line="320" w:lineRule="exact"/>
              <w:jc w:val="center"/>
              <w:rPr>
                <w:szCs w:val="21"/>
              </w:rPr>
            </w:pPr>
          </w:p>
        </w:tc>
        <w:tc>
          <w:tcPr>
            <w:tcW w:w="968" w:type="dxa"/>
            <w:vAlign w:val="center"/>
          </w:tcPr>
          <w:p>
            <w:pPr>
              <w:adjustRightInd w:val="0"/>
              <w:snapToGrid w:val="0"/>
              <w:spacing w:line="320" w:lineRule="exact"/>
              <w:jc w:val="center"/>
              <w:rPr>
                <w:szCs w:val="21"/>
              </w:rPr>
            </w:pPr>
            <w:r>
              <w:rPr>
                <w:rFonts w:hint="eastAsia"/>
                <w:szCs w:val="21"/>
              </w:rPr>
              <w:t>裂口</w:t>
            </w:r>
          </w:p>
        </w:tc>
        <w:tc>
          <w:tcPr>
            <w:tcW w:w="6868" w:type="dxa"/>
            <w:vAlign w:val="center"/>
          </w:tcPr>
          <w:p>
            <w:pPr>
              <w:adjustRightInd w:val="0"/>
              <w:snapToGrid w:val="0"/>
              <w:spacing w:line="320" w:lineRule="exact"/>
              <w:jc w:val="center"/>
              <w:rPr>
                <w:szCs w:val="21"/>
              </w:rPr>
            </w:pPr>
            <w:r>
              <w:rPr>
                <w:rFonts w:hint="eastAsia"/>
                <w:szCs w:val="21"/>
              </w:rPr>
              <w:t>使用外封式堵漏袋、电磁式堵漏工具组堵漏。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40" w:hRule="atLeast"/>
          <w:jc w:val="center"/>
        </w:trPr>
        <w:tc>
          <w:tcPr>
            <w:tcW w:w="1008" w:type="dxa"/>
            <w:vAlign w:val="center"/>
          </w:tcPr>
          <w:p>
            <w:pPr>
              <w:adjustRightInd w:val="0"/>
              <w:snapToGrid w:val="0"/>
              <w:spacing w:line="320" w:lineRule="exact"/>
              <w:jc w:val="center"/>
              <w:rPr>
                <w:szCs w:val="21"/>
              </w:rPr>
            </w:pPr>
            <w:r>
              <w:rPr>
                <w:rFonts w:hint="eastAsia"/>
                <w:szCs w:val="21"/>
              </w:rPr>
              <w:t>阀门</w:t>
            </w:r>
          </w:p>
        </w:tc>
        <w:tc>
          <w:tcPr>
            <w:tcW w:w="968" w:type="dxa"/>
            <w:vAlign w:val="center"/>
          </w:tcPr>
          <w:p>
            <w:pPr>
              <w:adjustRightInd w:val="0"/>
              <w:snapToGrid w:val="0"/>
              <w:spacing w:line="320" w:lineRule="exact"/>
              <w:jc w:val="center"/>
              <w:rPr>
                <w:szCs w:val="21"/>
              </w:rPr>
            </w:pPr>
            <w:r>
              <w:rPr>
                <w:rFonts w:hint="eastAsia"/>
                <w:szCs w:val="21"/>
              </w:rPr>
              <w:t>--</w:t>
            </w:r>
          </w:p>
        </w:tc>
        <w:tc>
          <w:tcPr>
            <w:tcW w:w="6868" w:type="dxa"/>
            <w:vAlign w:val="center"/>
          </w:tcPr>
          <w:p>
            <w:pPr>
              <w:adjustRightInd w:val="0"/>
              <w:snapToGrid w:val="0"/>
              <w:spacing w:line="320" w:lineRule="exact"/>
              <w:jc w:val="center"/>
              <w:rPr>
                <w:szCs w:val="21"/>
              </w:rPr>
            </w:pPr>
            <w:r>
              <w:rPr>
                <w:rFonts w:hint="eastAsia"/>
                <w:szCs w:val="21"/>
              </w:rPr>
              <w:t>使用阀门堵漏工具组、注入式堵漏胶、堵漏夹具堵漏。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40" w:hRule="atLeast"/>
          <w:jc w:val="center"/>
        </w:trPr>
        <w:tc>
          <w:tcPr>
            <w:tcW w:w="1008" w:type="dxa"/>
            <w:vAlign w:val="center"/>
          </w:tcPr>
          <w:p>
            <w:pPr>
              <w:adjustRightInd w:val="0"/>
              <w:snapToGrid w:val="0"/>
              <w:spacing w:line="320" w:lineRule="exact"/>
              <w:jc w:val="center"/>
              <w:rPr>
                <w:szCs w:val="21"/>
              </w:rPr>
            </w:pPr>
            <w:r>
              <w:rPr>
                <w:rFonts w:hint="eastAsia"/>
                <w:szCs w:val="21"/>
              </w:rPr>
              <w:t>法兰</w:t>
            </w:r>
          </w:p>
        </w:tc>
        <w:tc>
          <w:tcPr>
            <w:tcW w:w="968" w:type="dxa"/>
            <w:vAlign w:val="center"/>
          </w:tcPr>
          <w:p>
            <w:pPr>
              <w:adjustRightInd w:val="0"/>
              <w:snapToGrid w:val="0"/>
              <w:spacing w:line="320" w:lineRule="exact"/>
              <w:jc w:val="center"/>
              <w:rPr>
                <w:szCs w:val="21"/>
              </w:rPr>
            </w:pPr>
            <w:r>
              <w:rPr>
                <w:rFonts w:hint="eastAsia"/>
                <w:szCs w:val="21"/>
              </w:rPr>
              <w:t>--</w:t>
            </w:r>
          </w:p>
        </w:tc>
        <w:tc>
          <w:tcPr>
            <w:tcW w:w="6868" w:type="dxa"/>
            <w:vAlign w:val="center"/>
          </w:tcPr>
          <w:p>
            <w:pPr>
              <w:adjustRightInd w:val="0"/>
              <w:snapToGrid w:val="0"/>
              <w:spacing w:line="320" w:lineRule="exact"/>
              <w:jc w:val="center"/>
              <w:rPr>
                <w:szCs w:val="21"/>
              </w:rPr>
            </w:pPr>
            <w:r>
              <w:rPr>
                <w:rFonts w:hint="eastAsia"/>
                <w:szCs w:val="21"/>
              </w:rPr>
              <w:t>使用专用法兰夹具、注入式堵漏胶堵漏。</w:t>
            </w:r>
          </w:p>
        </w:tc>
      </w:tr>
    </w:tbl>
    <w:p>
      <w:pPr>
        <w:keepNext/>
        <w:keepLines/>
        <w:spacing w:line="480" w:lineRule="exact"/>
        <w:outlineLvl w:val="2"/>
        <w:rPr>
          <w:b/>
          <w:bCs/>
          <w:snapToGrid w:val="0"/>
          <w:sz w:val="24"/>
        </w:rPr>
      </w:pPr>
      <w:r>
        <w:rPr>
          <w:rFonts w:hint="eastAsia"/>
          <w:b/>
          <w:bCs/>
          <w:snapToGrid w:val="0"/>
          <w:sz w:val="24"/>
        </w:rPr>
        <w:t>7.</w:t>
      </w:r>
      <w:r>
        <w:rPr>
          <w:b/>
          <w:bCs/>
          <w:snapToGrid w:val="0"/>
          <w:sz w:val="24"/>
        </w:rPr>
        <w:t>3</w:t>
      </w:r>
      <w:r>
        <w:rPr>
          <w:rFonts w:hint="eastAsia"/>
          <w:b/>
          <w:bCs/>
          <w:snapToGrid w:val="0"/>
          <w:sz w:val="24"/>
        </w:rPr>
        <w:t>.</w:t>
      </w:r>
      <w:bookmarkStart w:id="219" w:name="_Toc14907"/>
      <w:bookmarkStart w:id="220" w:name="_Toc2621"/>
      <w:r>
        <w:rPr>
          <w:rFonts w:hint="eastAsia"/>
          <w:b/>
          <w:bCs/>
          <w:snapToGrid w:val="0"/>
          <w:sz w:val="24"/>
        </w:rPr>
        <w:t>4次生灾害</w:t>
      </w:r>
      <w:bookmarkEnd w:id="219"/>
      <w:bookmarkEnd w:id="220"/>
      <w:r>
        <w:rPr>
          <w:rFonts w:hint="eastAsia"/>
          <w:b/>
          <w:bCs/>
          <w:snapToGrid w:val="0"/>
          <w:sz w:val="24"/>
        </w:rPr>
        <w:t>现场处置</w:t>
      </w:r>
      <w:bookmarkEnd w:id="217"/>
      <w:bookmarkEnd w:id="218"/>
    </w:p>
    <w:p>
      <w:pPr>
        <w:spacing w:line="480" w:lineRule="exact"/>
        <w:ind w:firstLine="480" w:firstLineChars="200"/>
        <w:rPr>
          <w:sz w:val="24"/>
        </w:rPr>
      </w:pPr>
      <w:r>
        <w:rPr>
          <w:rFonts w:hint="eastAsia"/>
          <w:sz w:val="24"/>
        </w:rPr>
        <w:t>为在事故发生时能够及时对事故进行处理，防止次生灾害事故发生，主要采取以下应急处置措施：</w:t>
      </w:r>
    </w:p>
    <w:p>
      <w:pPr>
        <w:spacing w:line="480" w:lineRule="exact"/>
        <w:ind w:firstLine="480" w:firstLineChars="200"/>
        <w:rPr>
          <w:sz w:val="24"/>
        </w:rPr>
      </w:pPr>
      <w:r>
        <w:rPr>
          <w:rFonts w:hint="eastAsia"/>
          <w:sz w:val="24"/>
        </w:rPr>
        <w:t>（1）发生事故时，根据情况及时切断加热源、及时切断电源，及时切断物料输送源。尽量将事故缩小至可控范围内，以免引发连锁反应，引起重大事故。</w:t>
      </w:r>
    </w:p>
    <w:p>
      <w:pPr>
        <w:spacing w:line="480" w:lineRule="exact"/>
        <w:ind w:firstLine="480" w:firstLineChars="200"/>
        <w:rPr>
          <w:sz w:val="24"/>
        </w:rPr>
      </w:pPr>
      <w:r>
        <w:rPr>
          <w:rFonts w:hint="eastAsia"/>
          <w:sz w:val="24"/>
        </w:rPr>
        <w:t>（2）在应急指挥中心和现场指挥部的指令下，由污染处置组，进行现场污染清理。</w:t>
      </w:r>
    </w:p>
    <w:p>
      <w:pPr>
        <w:spacing w:line="480" w:lineRule="exact"/>
        <w:ind w:firstLine="480" w:firstLineChars="200"/>
        <w:rPr>
          <w:sz w:val="24"/>
        </w:rPr>
      </w:pPr>
      <w:r>
        <w:rPr>
          <w:rFonts w:hint="eastAsia"/>
          <w:sz w:val="24"/>
        </w:rPr>
        <w:t>（3）事故结束后，组成污染评估和事故调查小组，调查事故原因，研究制定处置和防范措施，进行现场监测，防止引发次生环境事件。</w:t>
      </w:r>
    </w:p>
    <w:p>
      <w:pPr>
        <w:spacing w:before="60" w:after="60" w:line="500" w:lineRule="exact"/>
        <w:outlineLvl w:val="1"/>
        <w:rPr>
          <w:rFonts w:eastAsia="黑体"/>
          <w:b/>
          <w:snapToGrid w:val="0"/>
          <w:color w:val="000000" w:themeColor="text1"/>
          <w:spacing w:val="4"/>
          <w:kern w:val="0"/>
          <w:sz w:val="28"/>
          <w:szCs w:val="30"/>
          <w14:textFill>
            <w14:solidFill>
              <w14:schemeClr w14:val="tx1"/>
            </w14:solidFill>
          </w14:textFill>
        </w:rPr>
      </w:pPr>
      <w:bookmarkStart w:id="221" w:name="_Toc10105695"/>
      <w:bookmarkStart w:id="222" w:name="_Toc484164010"/>
      <w:r>
        <w:rPr>
          <w:rFonts w:hint="eastAsia" w:eastAsia="黑体"/>
          <w:b/>
          <w:snapToGrid w:val="0"/>
          <w:color w:val="000000" w:themeColor="text1"/>
          <w:spacing w:val="4"/>
          <w:kern w:val="0"/>
          <w:sz w:val="28"/>
          <w:szCs w:val="30"/>
          <w14:textFill>
            <w14:solidFill>
              <w14:schemeClr w14:val="tx1"/>
            </w14:solidFill>
          </w14:textFill>
        </w:rPr>
        <w:t>7</w:t>
      </w:r>
      <w:r>
        <w:rPr>
          <w:rFonts w:eastAsia="黑体"/>
          <w:b/>
          <w:snapToGrid w:val="0"/>
          <w:color w:val="000000" w:themeColor="text1"/>
          <w:spacing w:val="4"/>
          <w:kern w:val="0"/>
          <w:sz w:val="28"/>
          <w:szCs w:val="30"/>
          <w14:textFill>
            <w14:solidFill>
              <w14:schemeClr w14:val="tx1"/>
            </w14:solidFill>
          </w14:textFill>
        </w:rPr>
        <w:t>.</w:t>
      </w:r>
      <w:r>
        <w:rPr>
          <w:rFonts w:hint="eastAsia" w:eastAsia="黑体"/>
          <w:b/>
          <w:snapToGrid w:val="0"/>
          <w:color w:val="000000" w:themeColor="text1"/>
          <w:spacing w:val="4"/>
          <w:kern w:val="0"/>
          <w:sz w:val="28"/>
          <w:szCs w:val="30"/>
          <w14:textFill>
            <w14:solidFill>
              <w14:schemeClr w14:val="tx1"/>
            </w14:solidFill>
          </w14:textFill>
        </w:rPr>
        <w:t>4应急疏散</w:t>
      </w:r>
      <w:bookmarkEnd w:id="221"/>
    </w:p>
    <w:p>
      <w:pPr>
        <w:spacing w:line="440" w:lineRule="exact"/>
        <w:rPr>
          <w:rFonts w:eastAsia="黑体"/>
          <w:b/>
          <w:snapToGrid w:val="0"/>
          <w:color w:val="000000" w:themeColor="text1"/>
          <w:spacing w:val="4"/>
          <w:kern w:val="0"/>
          <w:sz w:val="24"/>
          <w14:textFill>
            <w14:solidFill>
              <w14:schemeClr w14:val="tx1"/>
            </w14:solidFill>
          </w14:textFill>
        </w:rPr>
      </w:pPr>
      <w:bookmarkStart w:id="223" w:name="_Toc10105696"/>
      <w:bookmarkStart w:id="224" w:name="_Toc524953706"/>
      <w:r>
        <w:rPr>
          <w:rFonts w:eastAsia="黑体"/>
          <w:b/>
          <w:snapToGrid w:val="0"/>
          <w:color w:val="000000" w:themeColor="text1"/>
          <w:spacing w:val="4"/>
          <w:kern w:val="0"/>
          <w:sz w:val="24"/>
          <w14:textFill>
            <w14:solidFill>
              <w14:schemeClr w14:val="tx1"/>
            </w14:solidFill>
          </w14:textFill>
        </w:rPr>
        <w:t>7.</w:t>
      </w:r>
      <w:r>
        <w:rPr>
          <w:rFonts w:hint="eastAsia" w:eastAsia="黑体"/>
          <w:b/>
          <w:snapToGrid w:val="0"/>
          <w:color w:val="000000" w:themeColor="text1"/>
          <w:spacing w:val="4"/>
          <w:kern w:val="0"/>
          <w:sz w:val="24"/>
          <w14:textFill>
            <w14:solidFill>
              <w14:schemeClr w14:val="tx1"/>
            </w14:solidFill>
          </w14:textFill>
        </w:rPr>
        <w:t>4</w:t>
      </w:r>
      <w:r>
        <w:rPr>
          <w:rFonts w:eastAsia="黑体"/>
          <w:b/>
          <w:snapToGrid w:val="0"/>
          <w:color w:val="000000" w:themeColor="text1"/>
          <w:spacing w:val="4"/>
          <w:kern w:val="0"/>
          <w:sz w:val="24"/>
          <w14:textFill>
            <w14:solidFill>
              <w14:schemeClr w14:val="tx1"/>
            </w14:solidFill>
          </w14:textFill>
        </w:rPr>
        <w:t xml:space="preserve">.1 </w:t>
      </w:r>
      <w:r>
        <w:rPr>
          <w:rFonts w:hint="eastAsia" w:eastAsia="黑体"/>
          <w:b/>
          <w:snapToGrid w:val="0"/>
          <w:color w:val="000000" w:themeColor="text1"/>
          <w:spacing w:val="4"/>
          <w:kern w:val="0"/>
          <w:sz w:val="24"/>
          <w14:textFill>
            <w14:solidFill>
              <w14:schemeClr w14:val="tx1"/>
            </w14:solidFill>
          </w14:textFill>
        </w:rPr>
        <w:t>内部应急疏散</w:t>
      </w:r>
      <w:bookmarkEnd w:id="223"/>
      <w:bookmarkEnd w:id="224"/>
      <w:r>
        <w:rPr>
          <w:rFonts w:eastAsia="黑体"/>
          <w:b/>
          <w:snapToGrid w:val="0"/>
          <w:color w:val="000000" w:themeColor="text1"/>
          <w:spacing w:val="4"/>
          <w:kern w:val="0"/>
          <w:sz w:val="24"/>
          <w14:textFill>
            <w14:solidFill>
              <w14:schemeClr w14:val="tx1"/>
            </w14:solidFill>
          </w14:textFill>
        </w:rPr>
        <w:t xml:space="preserve"> </w:t>
      </w:r>
    </w:p>
    <w:p>
      <w:pPr>
        <w:pStyle w:val="47"/>
        <w:spacing w:line="480" w:lineRule="exact"/>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t>（1）撤离前尽可能携带一些个人防护装备如湿毛巾、湿手套、口罩（打湿）；</w:t>
      </w:r>
    </w:p>
    <w:p>
      <w:pPr>
        <w:pStyle w:val="47"/>
        <w:spacing w:line="480" w:lineRule="exact"/>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t>（2）撤离时注意观察周围灾害扩散形势及大致风向，选择高点、逆风向作为逃生路线；</w:t>
      </w:r>
    </w:p>
    <w:p>
      <w:pPr>
        <w:pStyle w:val="47"/>
        <w:spacing w:line="480" w:lineRule="exact"/>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t>（3）撤离过程中用佩戴逃生用过滤式面罩或以湿物堵住口鼻防止中毒；</w:t>
      </w:r>
    </w:p>
    <w:p>
      <w:pPr>
        <w:pStyle w:val="47"/>
        <w:spacing w:line="480" w:lineRule="exact"/>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t>（</w:t>
      </w:r>
      <w:r>
        <w:rPr>
          <w:rFonts w:hint="eastAsia" w:ascii="Times New Roman" w:hAnsi="Times New Roman" w:cs="Times New Roman"/>
        </w:rPr>
        <w:t>4</w:t>
      </w:r>
      <w:r>
        <w:rPr>
          <w:rFonts w:ascii="Times New Roman" w:hAnsi="Times New Roman" w:cs="Times New Roman"/>
        </w:rPr>
        <w:t>）人员相对集中的生产班组应指定不少于2人的撤离引导员，平时按预案熟悉撤离路线，自觉训练，撤离时担任引导任务；</w:t>
      </w:r>
    </w:p>
    <w:p>
      <w:pPr>
        <w:pStyle w:val="47"/>
        <w:spacing w:line="480" w:lineRule="exact"/>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t>（</w:t>
      </w:r>
      <w:r>
        <w:rPr>
          <w:rFonts w:hint="eastAsia" w:ascii="Times New Roman" w:hAnsi="Times New Roman" w:cs="Times New Roman"/>
        </w:rPr>
        <w:t>5</w:t>
      </w:r>
      <w:r>
        <w:rPr>
          <w:rFonts w:ascii="Times New Roman" w:hAnsi="Times New Roman" w:cs="Times New Roman"/>
        </w:rPr>
        <w:t>）岗位及人员分散的单位必须人人训练撤离技能，熟练掌握正确撤离路线；</w:t>
      </w:r>
    </w:p>
    <w:p>
      <w:pPr>
        <w:pStyle w:val="47"/>
        <w:spacing w:line="480" w:lineRule="exact"/>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t>（</w:t>
      </w:r>
      <w:r>
        <w:rPr>
          <w:rFonts w:hint="eastAsia" w:ascii="Times New Roman" w:hAnsi="Times New Roman" w:cs="Times New Roman"/>
        </w:rPr>
        <w:t>6</w:t>
      </w:r>
      <w:r>
        <w:rPr>
          <w:rFonts w:ascii="Times New Roman" w:hAnsi="Times New Roman" w:cs="Times New Roman"/>
        </w:rPr>
        <w:t>）负责应急疏导的应急小组在撤离过程中负责指挥引导人群的疏散与撤离。</w:t>
      </w:r>
    </w:p>
    <w:p>
      <w:pPr>
        <w:spacing w:line="440" w:lineRule="exact"/>
        <w:rPr>
          <w:rFonts w:eastAsia="黑体"/>
          <w:b/>
          <w:snapToGrid w:val="0"/>
          <w:color w:val="000000" w:themeColor="text1"/>
          <w:spacing w:val="4"/>
          <w:kern w:val="0"/>
          <w:sz w:val="24"/>
          <w14:textFill>
            <w14:solidFill>
              <w14:schemeClr w14:val="tx1"/>
            </w14:solidFill>
          </w14:textFill>
        </w:rPr>
      </w:pPr>
      <w:bookmarkStart w:id="225" w:name="_Toc10105697"/>
      <w:bookmarkStart w:id="226" w:name="_Toc524953707"/>
      <w:r>
        <w:rPr>
          <w:rFonts w:eastAsia="黑体"/>
          <w:b/>
          <w:snapToGrid w:val="0"/>
          <w:color w:val="000000" w:themeColor="text1"/>
          <w:spacing w:val="4"/>
          <w:kern w:val="0"/>
          <w:sz w:val="24"/>
          <w14:textFill>
            <w14:solidFill>
              <w14:schemeClr w14:val="tx1"/>
            </w14:solidFill>
          </w14:textFill>
        </w:rPr>
        <w:t>7.</w:t>
      </w:r>
      <w:r>
        <w:rPr>
          <w:rFonts w:hint="eastAsia" w:eastAsia="黑体"/>
          <w:b/>
          <w:snapToGrid w:val="0"/>
          <w:color w:val="000000" w:themeColor="text1"/>
          <w:spacing w:val="4"/>
          <w:kern w:val="0"/>
          <w:sz w:val="24"/>
          <w14:textFill>
            <w14:solidFill>
              <w14:schemeClr w14:val="tx1"/>
            </w14:solidFill>
          </w14:textFill>
        </w:rPr>
        <w:t>4</w:t>
      </w:r>
      <w:r>
        <w:rPr>
          <w:rFonts w:eastAsia="黑体"/>
          <w:b/>
          <w:snapToGrid w:val="0"/>
          <w:color w:val="000000" w:themeColor="text1"/>
          <w:spacing w:val="4"/>
          <w:kern w:val="0"/>
          <w:sz w:val="24"/>
          <w14:textFill>
            <w14:solidFill>
              <w14:schemeClr w14:val="tx1"/>
            </w14:solidFill>
          </w14:textFill>
        </w:rPr>
        <w:t>.</w:t>
      </w:r>
      <w:r>
        <w:rPr>
          <w:rFonts w:hint="eastAsia" w:eastAsia="黑体"/>
          <w:b/>
          <w:snapToGrid w:val="0"/>
          <w:color w:val="000000" w:themeColor="text1"/>
          <w:spacing w:val="4"/>
          <w:kern w:val="0"/>
          <w:sz w:val="24"/>
          <w14:textFill>
            <w14:solidFill>
              <w14:schemeClr w14:val="tx1"/>
            </w14:solidFill>
          </w14:textFill>
        </w:rPr>
        <w:t>2</w:t>
      </w:r>
      <w:r>
        <w:rPr>
          <w:rFonts w:eastAsia="黑体"/>
          <w:b/>
          <w:snapToGrid w:val="0"/>
          <w:color w:val="000000" w:themeColor="text1"/>
          <w:spacing w:val="4"/>
          <w:kern w:val="0"/>
          <w:sz w:val="24"/>
          <w14:textFill>
            <w14:solidFill>
              <w14:schemeClr w14:val="tx1"/>
            </w14:solidFill>
          </w14:textFill>
        </w:rPr>
        <w:t xml:space="preserve"> </w:t>
      </w:r>
      <w:r>
        <w:rPr>
          <w:rFonts w:hint="eastAsia" w:eastAsia="黑体"/>
          <w:b/>
          <w:snapToGrid w:val="0"/>
          <w:color w:val="000000" w:themeColor="text1"/>
          <w:spacing w:val="4"/>
          <w:kern w:val="0"/>
          <w:sz w:val="24"/>
          <w14:textFill>
            <w14:solidFill>
              <w14:schemeClr w14:val="tx1"/>
            </w14:solidFill>
          </w14:textFill>
        </w:rPr>
        <w:t>厂外应急疏散</w:t>
      </w:r>
      <w:bookmarkEnd w:id="225"/>
      <w:bookmarkEnd w:id="226"/>
    </w:p>
    <w:p>
      <w:pPr>
        <w:pStyle w:val="47"/>
        <w:spacing w:line="480" w:lineRule="exact"/>
        <w:ind w:firstLine="480" w:firstLineChars="200"/>
        <w:rPr>
          <w:rFonts w:ascii="Times New Roman" w:cs="Times New Roman" w:hAnsiTheme="minorEastAsia" w:eastAsiaTheme="minorEastAsia"/>
        </w:rPr>
      </w:pPr>
      <w:r>
        <w:rPr>
          <w:rFonts w:ascii="Times New Roman" w:cs="Times New Roman" w:hAnsiTheme="minorEastAsia" w:eastAsiaTheme="minorEastAsia"/>
        </w:rPr>
        <w:t>当事件危及厂外时，企业应向可能受到影响范围内的敏感受体发布通报，明确事件的危害性，提出疏散的建议。在政府相应应急人员未抵达前，派工作人员协助相关的人员组织应急疏散。在政府力量抵达后，统一听从政府人员的安排，由政府应急人员指挥应急疏散工作。</w:t>
      </w:r>
    </w:p>
    <w:p>
      <w:pPr>
        <w:spacing w:before="60" w:after="60" w:line="480" w:lineRule="exact"/>
        <w:outlineLvl w:val="1"/>
        <w:rPr>
          <w:rFonts w:eastAsia="黑体"/>
          <w:b/>
          <w:snapToGrid w:val="0"/>
          <w:spacing w:val="4"/>
          <w:kern w:val="0"/>
          <w:sz w:val="28"/>
          <w:szCs w:val="30"/>
        </w:rPr>
      </w:pPr>
      <w:bookmarkStart w:id="227" w:name="_Toc10105698"/>
      <w:r>
        <w:rPr>
          <w:rFonts w:hint="eastAsia" w:eastAsia="黑体"/>
          <w:b/>
          <w:snapToGrid w:val="0"/>
          <w:spacing w:val="4"/>
          <w:kern w:val="0"/>
          <w:sz w:val="28"/>
          <w:szCs w:val="30"/>
        </w:rPr>
        <w:t>7</w:t>
      </w:r>
      <w:r>
        <w:rPr>
          <w:rFonts w:eastAsia="黑体"/>
          <w:b/>
          <w:snapToGrid w:val="0"/>
          <w:spacing w:val="4"/>
          <w:kern w:val="0"/>
          <w:sz w:val="28"/>
          <w:szCs w:val="30"/>
        </w:rPr>
        <w:t>.</w:t>
      </w:r>
      <w:r>
        <w:rPr>
          <w:rFonts w:hint="eastAsia" w:eastAsia="黑体"/>
          <w:b/>
          <w:snapToGrid w:val="0"/>
          <w:spacing w:val="4"/>
          <w:kern w:val="0"/>
          <w:sz w:val="28"/>
          <w:szCs w:val="30"/>
        </w:rPr>
        <w:t>5</w:t>
      </w:r>
      <w:r>
        <w:rPr>
          <w:rFonts w:eastAsia="黑体"/>
          <w:b/>
          <w:snapToGrid w:val="0"/>
          <w:spacing w:val="4"/>
          <w:kern w:val="0"/>
          <w:sz w:val="28"/>
          <w:szCs w:val="30"/>
        </w:rPr>
        <w:t>应急监测</w:t>
      </w:r>
      <w:bookmarkEnd w:id="222"/>
      <w:bookmarkEnd w:id="227"/>
    </w:p>
    <w:p>
      <w:pPr>
        <w:spacing w:line="440" w:lineRule="exact"/>
        <w:rPr>
          <w:rFonts w:eastAsia="黑体"/>
          <w:b/>
          <w:snapToGrid w:val="0"/>
          <w:spacing w:val="4"/>
          <w:kern w:val="0"/>
          <w:sz w:val="24"/>
        </w:rPr>
      </w:pPr>
      <w:bookmarkStart w:id="228" w:name="_Toc10105699"/>
      <w:bookmarkStart w:id="229" w:name="_Toc304533446"/>
      <w:bookmarkStart w:id="230" w:name="_Toc306266650"/>
      <w:bookmarkStart w:id="231" w:name="_Toc524953709"/>
      <w:bookmarkStart w:id="232" w:name="_Toc313023200"/>
      <w:bookmarkStart w:id="233" w:name="_Toc475831206"/>
      <w:bookmarkStart w:id="234" w:name="_Toc484164011"/>
      <w:r>
        <w:rPr>
          <w:rFonts w:hint="eastAsia" w:eastAsia="黑体"/>
          <w:b/>
          <w:snapToGrid w:val="0"/>
          <w:spacing w:val="4"/>
          <w:kern w:val="0"/>
          <w:sz w:val="24"/>
        </w:rPr>
        <w:t>7.5.1</w:t>
      </w:r>
      <w:r>
        <w:rPr>
          <w:rFonts w:eastAsia="黑体"/>
          <w:b/>
          <w:snapToGrid w:val="0"/>
          <w:spacing w:val="4"/>
          <w:kern w:val="0"/>
          <w:sz w:val="24"/>
        </w:rPr>
        <w:t xml:space="preserve"> 应急监测组</w:t>
      </w:r>
      <w:bookmarkEnd w:id="228"/>
      <w:bookmarkEnd w:id="229"/>
      <w:bookmarkEnd w:id="230"/>
      <w:bookmarkEnd w:id="231"/>
      <w:bookmarkEnd w:id="232"/>
      <w:bookmarkEnd w:id="233"/>
    </w:p>
    <w:p>
      <w:pPr>
        <w:spacing w:line="500" w:lineRule="exact"/>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企业不具备监测能力，发生风险目标泄漏或火灾事故后，公司根据实际情况，迅速确定救援方案，及时请求</w:t>
      </w:r>
      <w:r>
        <w:rPr>
          <w:rFonts w:hint="eastAsia"/>
          <w:color w:val="FF0000"/>
          <w:sz w:val="24"/>
        </w:rPr>
        <w:t xml:space="preserve">南昌市环境监测站支援。 </w:t>
      </w:r>
    </w:p>
    <w:p>
      <w:pPr>
        <w:spacing w:line="500" w:lineRule="exact"/>
        <w:ind w:firstLine="480" w:firstLineChars="200"/>
        <w:rPr>
          <w:color w:val="000000" w:themeColor="text1"/>
          <w:sz w:val="24"/>
          <w14:textFill>
            <w14:solidFill>
              <w14:schemeClr w14:val="tx1"/>
            </w14:solidFill>
          </w14:textFill>
        </w:rPr>
        <w:sectPr>
          <w:pgSz w:w="11906" w:h="16838"/>
          <w:pgMar w:top="1440" w:right="1800" w:bottom="1440" w:left="1800" w:header="851" w:footer="992" w:gutter="0"/>
          <w:cols w:space="720" w:num="1"/>
          <w:docGrid w:type="lines" w:linePitch="312" w:charSpace="0"/>
        </w:sectPr>
      </w:pPr>
      <w:r>
        <w:rPr>
          <w:rFonts w:hint="eastAsia"/>
          <w:color w:val="000000" w:themeColor="text1"/>
          <w:sz w:val="24"/>
          <w14:textFill>
            <w14:solidFill>
              <w14:schemeClr w14:val="tx1"/>
            </w14:solidFill>
          </w14:textFill>
        </w:rPr>
        <w:t>应急监测组负责</w:t>
      </w:r>
      <w:r>
        <w:rPr>
          <w:rFonts w:hAnsi="宋体"/>
          <w:color w:val="000000" w:themeColor="text1"/>
          <w:sz w:val="24"/>
          <w14:textFill>
            <w14:solidFill>
              <w14:schemeClr w14:val="tx1"/>
            </w14:solidFill>
          </w14:textFill>
        </w:rPr>
        <w:t>联系外部单位，</w:t>
      </w:r>
      <w:r>
        <w:rPr>
          <w:rFonts w:hint="eastAsia"/>
          <w:color w:val="000000" w:themeColor="text1"/>
          <w:sz w:val="24"/>
          <w14:textFill>
            <w14:solidFill>
              <w14:schemeClr w14:val="tx1"/>
            </w14:solidFill>
          </w14:textFill>
        </w:rPr>
        <w:t>并配合监测人员进行监测。根据监测结果，确定污染程度和可能污染的范围，并提出处理处置建议，及时上报有关部门。</w:t>
      </w:r>
    </w:p>
    <w:p>
      <w:pPr>
        <w:spacing w:line="440" w:lineRule="exact"/>
        <w:rPr>
          <w:rFonts w:eastAsia="黑体"/>
          <w:b/>
          <w:snapToGrid w:val="0"/>
          <w:color w:val="000000" w:themeColor="text1"/>
          <w:spacing w:val="4"/>
          <w:kern w:val="0"/>
          <w:sz w:val="24"/>
          <w14:textFill>
            <w14:solidFill>
              <w14:schemeClr w14:val="tx1"/>
            </w14:solidFill>
          </w14:textFill>
        </w:rPr>
      </w:pPr>
      <w:bookmarkStart w:id="235" w:name="_Toc475831207"/>
      <w:bookmarkStart w:id="236" w:name="_Toc524953710"/>
      <w:bookmarkStart w:id="237" w:name="_Toc10105700"/>
      <w:bookmarkStart w:id="238" w:name="_Toc137888623"/>
      <w:bookmarkStart w:id="239" w:name="_Toc147223141"/>
      <w:bookmarkStart w:id="240" w:name="_Toc166658818"/>
      <w:bookmarkStart w:id="241" w:name="_Toc173569942"/>
      <w:bookmarkStart w:id="242" w:name="_Toc186202115"/>
      <w:bookmarkStart w:id="243" w:name="_Toc186202211"/>
      <w:bookmarkStart w:id="244" w:name="_Toc213578978"/>
      <w:r>
        <w:rPr>
          <w:rFonts w:hint="eastAsia" w:eastAsia="黑体"/>
          <w:b/>
          <w:snapToGrid w:val="0"/>
          <w:color w:val="000000" w:themeColor="text1"/>
          <w:spacing w:val="4"/>
          <w:kern w:val="0"/>
          <w:sz w:val="24"/>
          <w14:textFill>
            <w14:solidFill>
              <w14:schemeClr w14:val="tx1"/>
            </w14:solidFill>
          </w14:textFill>
        </w:rPr>
        <w:t>7.5.2</w:t>
      </w:r>
      <w:r>
        <w:rPr>
          <w:rFonts w:eastAsia="黑体"/>
          <w:b/>
          <w:snapToGrid w:val="0"/>
          <w:color w:val="000000" w:themeColor="text1"/>
          <w:spacing w:val="4"/>
          <w:kern w:val="0"/>
          <w:sz w:val="24"/>
          <w14:textFill>
            <w14:solidFill>
              <w14:schemeClr w14:val="tx1"/>
            </w14:solidFill>
          </w14:textFill>
        </w:rPr>
        <w:t>应急监测要求</w:t>
      </w:r>
      <w:bookmarkEnd w:id="235"/>
      <w:bookmarkEnd w:id="236"/>
      <w:bookmarkEnd w:id="237"/>
    </w:p>
    <w:p>
      <w:pPr>
        <w:spacing w:line="480" w:lineRule="exact"/>
        <w:ind w:firstLine="480" w:firstLineChars="200"/>
        <w:rPr>
          <w:sz w:val="24"/>
        </w:rPr>
      </w:pPr>
      <w:r>
        <w:rPr>
          <w:sz w:val="24"/>
        </w:rPr>
        <w:t>监测组人员须严格按《环境监测技术规范》、《大气监测质量保证手册》的要求和《环境应急响应实用手册》、《突发性环境污染事故应急监测与处理技术》规定进行采样和分析。</w:t>
      </w:r>
    </w:p>
    <w:p>
      <w:pPr>
        <w:spacing w:line="440" w:lineRule="exact"/>
        <w:rPr>
          <w:rFonts w:eastAsia="黑体"/>
          <w:b/>
          <w:snapToGrid w:val="0"/>
          <w:color w:val="000000" w:themeColor="text1"/>
          <w:spacing w:val="4"/>
          <w:kern w:val="0"/>
          <w:sz w:val="24"/>
          <w14:textFill>
            <w14:solidFill>
              <w14:schemeClr w14:val="tx1"/>
            </w14:solidFill>
          </w14:textFill>
        </w:rPr>
      </w:pPr>
      <w:bookmarkStart w:id="245" w:name="_Toc137888622"/>
      <w:bookmarkStart w:id="246" w:name="_Toc147223140"/>
      <w:bookmarkStart w:id="247" w:name="_Toc166658815"/>
      <w:bookmarkStart w:id="248" w:name="_Toc173569938"/>
      <w:bookmarkStart w:id="249" w:name="_Toc186202111"/>
      <w:bookmarkStart w:id="250" w:name="_Toc186202207"/>
      <w:bookmarkStart w:id="251" w:name="_Toc213578974"/>
      <w:bookmarkStart w:id="252" w:name="_Toc475831208"/>
      <w:bookmarkStart w:id="253" w:name="_Toc524953711"/>
      <w:bookmarkStart w:id="254" w:name="_Toc10105701"/>
      <w:r>
        <w:rPr>
          <w:rFonts w:hint="eastAsia" w:eastAsia="黑体"/>
          <w:b/>
          <w:snapToGrid w:val="0"/>
          <w:color w:val="000000" w:themeColor="text1"/>
          <w:spacing w:val="4"/>
          <w:kern w:val="0"/>
          <w:sz w:val="24"/>
          <w14:textFill>
            <w14:solidFill>
              <w14:schemeClr w14:val="tx1"/>
            </w14:solidFill>
          </w14:textFill>
        </w:rPr>
        <w:t>7.5.3</w:t>
      </w:r>
      <w:r>
        <w:rPr>
          <w:rFonts w:eastAsia="黑体"/>
          <w:b/>
          <w:snapToGrid w:val="0"/>
          <w:color w:val="000000" w:themeColor="text1"/>
          <w:spacing w:val="4"/>
          <w:kern w:val="0"/>
          <w:sz w:val="24"/>
          <w14:textFill>
            <w14:solidFill>
              <w14:schemeClr w14:val="tx1"/>
            </w14:solidFill>
          </w14:textFill>
        </w:rPr>
        <w:t>点位布设、采样</w:t>
      </w:r>
      <w:bookmarkEnd w:id="245"/>
      <w:bookmarkEnd w:id="246"/>
      <w:bookmarkEnd w:id="247"/>
      <w:bookmarkEnd w:id="248"/>
      <w:bookmarkEnd w:id="249"/>
      <w:bookmarkEnd w:id="250"/>
      <w:bookmarkEnd w:id="251"/>
      <w:bookmarkEnd w:id="252"/>
      <w:bookmarkEnd w:id="253"/>
      <w:bookmarkEnd w:id="254"/>
    </w:p>
    <w:p>
      <w:pPr>
        <w:spacing w:before="156" w:beforeLines="50" w:after="156" w:afterLines="50" w:line="480" w:lineRule="exact"/>
        <w:outlineLvl w:val="3"/>
        <w:rPr>
          <w:b/>
          <w:sz w:val="24"/>
        </w:rPr>
      </w:pPr>
      <w:bookmarkStart w:id="255" w:name="_Toc166658816"/>
      <w:bookmarkStart w:id="256" w:name="_Toc173569939"/>
      <w:bookmarkStart w:id="257" w:name="_Toc186202112"/>
      <w:bookmarkStart w:id="258" w:name="_Toc186202208"/>
      <w:bookmarkStart w:id="259" w:name="_Toc213578975"/>
      <w:r>
        <w:rPr>
          <w:rFonts w:hint="eastAsia"/>
          <w:b/>
          <w:sz w:val="24"/>
        </w:rPr>
        <w:t>7.5.3.1</w:t>
      </w:r>
      <w:r>
        <w:rPr>
          <w:b/>
          <w:sz w:val="24"/>
        </w:rPr>
        <w:t>布点原则</w:t>
      </w:r>
      <w:bookmarkEnd w:id="255"/>
      <w:bookmarkEnd w:id="256"/>
      <w:bookmarkEnd w:id="257"/>
      <w:bookmarkEnd w:id="258"/>
      <w:bookmarkEnd w:id="259"/>
    </w:p>
    <w:p>
      <w:pPr>
        <w:spacing w:line="480" w:lineRule="exact"/>
        <w:ind w:firstLine="480" w:firstLineChars="200"/>
        <w:rPr>
          <w:sz w:val="24"/>
        </w:rPr>
      </w:pPr>
      <w:r>
        <w:rPr>
          <w:rFonts w:asciiTheme="minorEastAsia" w:hAnsiTheme="minorEastAsia" w:eastAsiaTheme="minorEastAsia"/>
          <w:sz w:val="24"/>
        </w:rPr>
        <w:t>(</w:t>
      </w:r>
      <w:r>
        <w:rPr>
          <w:rFonts w:eastAsiaTheme="minorEastAsia"/>
          <w:sz w:val="24"/>
        </w:rPr>
        <w:t>1</w:t>
      </w:r>
      <w:r>
        <w:rPr>
          <w:rFonts w:asciiTheme="minorEastAsia" w:hAnsiTheme="minorEastAsia" w:eastAsiaTheme="minorEastAsia"/>
          <w:sz w:val="24"/>
        </w:rPr>
        <w:t>)采</w:t>
      </w:r>
      <w:r>
        <w:rPr>
          <w:sz w:val="24"/>
        </w:rPr>
        <w:t>样断面</w:t>
      </w:r>
      <w:r>
        <w:rPr>
          <w:rFonts w:asciiTheme="minorEastAsia" w:hAnsiTheme="minorEastAsia" w:eastAsiaTheme="minorEastAsia"/>
          <w:sz w:val="24"/>
        </w:rPr>
        <w:t>(</w:t>
      </w:r>
      <w:r>
        <w:rPr>
          <w:sz w:val="24"/>
        </w:rPr>
        <w:t>点</w:t>
      </w:r>
      <w:r>
        <w:rPr>
          <w:rFonts w:asciiTheme="minorEastAsia" w:hAnsiTheme="minorEastAsia" w:eastAsiaTheme="minorEastAsia"/>
          <w:sz w:val="24"/>
        </w:rPr>
        <w:t>)</w:t>
      </w:r>
      <w:r>
        <w:rPr>
          <w:sz w:val="24"/>
        </w:rPr>
        <w:t>的设置一般以环境污染事故发生地点及其附近为主，同时必须注重人群和生活环境，考虑</w:t>
      </w:r>
      <w:r>
        <w:rPr>
          <w:rFonts w:hint="eastAsia"/>
          <w:sz w:val="24"/>
        </w:rPr>
        <w:t>对</w:t>
      </w:r>
      <w:r>
        <w:rPr>
          <w:sz w:val="24"/>
        </w:rPr>
        <w:t>地表水、居民住宅区空气、农田土壤等区域的影响，合理设置参照点，以掌握污染发生地点状况、反映事故发生区域环境的污染程度和污染范围为目的。</w:t>
      </w:r>
    </w:p>
    <w:p>
      <w:pPr>
        <w:spacing w:line="480" w:lineRule="exact"/>
        <w:ind w:firstLine="480" w:firstLineChars="200"/>
        <w:rPr>
          <w:sz w:val="24"/>
        </w:rPr>
      </w:pPr>
      <w:r>
        <w:rPr>
          <w:rFonts w:asciiTheme="minorEastAsia" w:hAnsiTheme="minorEastAsia" w:eastAsiaTheme="minorEastAsia"/>
          <w:sz w:val="24"/>
        </w:rPr>
        <w:t>(</w:t>
      </w:r>
      <w:r>
        <w:rPr>
          <w:rFonts w:eastAsiaTheme="minorEastAsia"/>
          <w:sz w:val="24"/>
        </w:rPr>
        <w:t>2</w:t>
      </w:r>
      <w:r>
        <w:rPr>
          <w:rFonts w:asciiTheme="minorEastAsia" w:hAnsiTheme="minorEastAsia" w:eastAsiaTheme="minorEastAsia"/>
          <w:sz w:val="24"/>
        </w:rPr>
        <w:t>)</w:t>
      </w:r>
      <w:r>
        <w:rPr>
          <w:sz w:val="24"/>
        </w:rPr>
        <w:t>对被环境污染事故所污染的</w:t>
      </w:r>
      <w:r>
        <w:rPr>
          <w:rFonts w:hint="eastAsia"/>
          <w:sz w:val="24"/>
        </w:rPr>
        <w:t>土壤</w:t>
      </w:r>
      <w:r>
        <w:rPr>
          <w:sz w:val="24"/>
        </w:rPr>
        <w:t>应设置对照断面</w:t>
      </w:r>
      <w:r>
        <w:rPr>
          <w:rFonts w:asciiTheme="minorEastAsia" w:hAnsiTheme="minorEastAsia" w:eastAsiaTheme="minorEastAsia"/>
          <w:sz w:val="24"/>
        </w:rPr>
        <w:t>(</w:t>
      </w:r>
      <w:r>
        <w:rPr>
          <w:sz w:val="24"/>
        </w:rPr>
        <w:t>点</w:t>
      </w:r>
      <w:r>
        <w:rPr>
          <w:rFonts w:asciiTheme="minorEastAsia" w:hAnsiTheme="minorEastAsia" w:eastAsiaTheme="minorEastAsia"/>
          <w:sz w:val="24"/>
        </w:rPr>
        <w:t>)</w:t>
      </w:r>
      <w:r>
        <w:rPr>
          <w:sz w:val="24"/>
        </w:rPr>
        <w:t>、控制断面</w:t>
      </w:r>
      <w:r>
        <w:rPr>
          <w:rFonts w:asciiTheme="minorEastAsia" w:hAnsiTheme="minorEastAsia" w:eastAsiaTheme="minorEastAsia"/>
          <w:sz w:val="24"/>
        </w:rPr>
        <w:t>(</w:t>
      </w:r>
      <w:r>
        <w:rPr>
          <w:sz w:val="24"/>
        </w:rPr>
        <w:t>点</w:t>
      </w:r>
      <w:r>
        <w:rPr>
          <w:rFonts w:asciiTheme="minorEastAsia" w:hAnsiTheme="minorEastAsia" w:eastAsiaTheme="minorEastAsia"/>
          <w:sz w:val="24"/>
        </w:rPr>
        <w:t>)</w:t>
      </w:r>
      <w:r>
        <w:rPr>
          <w:sz w:val="24"/>
        </w:rPr>
        <w:t>，尽可能以最少的断面</w:t>
      </w:r>
      <w:r>
        <w:rPr>
          <w:rFonts w:asciiTheme="minorEastAsia" w:hAnsiTheme="minorEastAsia" w:eastAsiaTheme="minorEastAsia"/>
          <w:sz w:val="24"/>
        </w:rPr>
        <w:t>(</w:t>
      </w:r>
      <w:r>
        <w:rPr>
          <w:sz w:val="24"/>
        </w:rPr>
        <w:t>点</w:t>
      </w:r>
      <w:r>
        <w:rPr>
          <w:rFonts w:asciiTheme="minorEastAsia" w:hAnsiTheme="minorEastAsia" w:eastAsiaTheme="minorEastAsia"/>
          <w:sz w:val="24"/>
        </w:rPr>
        <w:t>)</w:t>
      </w:r>
      <w:r>
        <w:rPr>
          <w:sz w:val="24"/>
        </w:rPr>
        <w:t>获取足够的有代表性的信息，同时需考虑采样的可行性和方便性。</w:t>
      </w:r>
    </w:p>
    <w:p>
      <w:pPr>
        <w:spacing w:before="156" w:beforeLines="50" w:after="156" w:afterLines="50" w:line="480" w:lineRule="exact"/>
        <w:outlineLvl w:val="3"/>
        <w:rPr>
          <w:b/>
          <w:sz w:val="24"/>
        </w:rPr>
      </w:pPr>
      <w:bookmarkStart w:id="260" w:name="_Toc166658817"/>
      <w:bookmarkStart w:id="261" w:name="_Toc173569940"/>
      <w:bookmarkStart w:id="262" w:name="_Toc186202113"/>
      <w:bookmarkStart w:id="263" w:name="_Toc186202209"/>
      <w:bookmarkStart w:id="264" w:name="_Toc213578976"/>
      <w:r>
        <w:rPr>
          <w:rFonts w:hint="eastAsia"/>
          <w:b/>
          <w:sz w:val="24"/>
        </w:rPr>
        <w:t>7.5.3.</w:t>
      </w:r>
      <w:r>
        <w:rPr>
          <w:b/>
          <w:sz w:val="24"/>
        </w:rPr>
        <w:t>2 布点采样方法</w:t>
      </w:r>
      <w:bookmarkEnd w:id="260"/>
      <w:bookmarkEnd w:id="261"/>
      <w:bookmarkEnd w:id="262"/>
      <w:bookmarkEnd w:id="263"/>
      <w:bookmarkEnd w:id="264"/>
    </w:p>
    <w:p>
      <w:pPr>
        <w:spacing w:line="480" w:lineRule="exact"/>
        <w:ind w:firstLine="480" w:firstLineChars="200"/>
        <w:rPr>
          <w:sz w:val="24"/>
        </w:rPr>
      </w:pPr>
      <w:r>
        <w:rPr>
          <w:rFonts w:asciiTheme="minorEastAsia" w:hAnsiTheme="minorEastAsia" w:eastAsiaTheme="minorEastAsia"/>
          <w:sz w:val="24"/>
        </w:rPr>
        <w:t>(</w:t>
      </w:r>
      <w:r>
        <w:rPr>
          <w:rFonts w:eastAsiaTheme="minorEastAsia"/>
          <w:sz w:val="24"/>
        </w:rPr>
        <w:t>1</w:t>
      </w:r>
      <w:r>
        <w:rPr>
          <w:rFonts w:asciiTheme="minorEastAsia" w:hAnsiTheme="minorEastAsia" w:eastAsiaTheme="minorEastAsia"/>
          <w:sz w:val="24"/>
        </w:rPr>
        <w:t>)</w:t>
      </w:r>
      <w:r>
        <w:rPr>
          <w:sz w:val="24"/>
        </w:rPr>
        <w:t>对于环境空气污染事故</w:t>
      </w:r>
    </w:p>
    <w:p>
      <w:pPr>
        <w:spacing w:line="480" w:lineRule="exact"/>
        <w:ind w:firstLine="480" w:firstLineChars="200"/>
        <w:rPr>
          <w:sz w:val="24"/>
        </w:rPr>
      </w:pPr>
      <w:r>
        <w:rPr>
          <w:sz w:val="24"/>
        </w:rPr>
        <w:t>应尽可能在事故发生地就近采样，并以事故发生地为中心，根据事故发生地的地形特点、事故时间风向，在事故发生地下风向</w:t>
      </w:r>
      <w:r>
        <w:rPr>
          <w:rFonts w:asciiTheme="minorEastAsia" w:hAnsiTheme="minorEastAsia" w:eastAsiaTheme="minorEastAsia"/>
          <w:sz w:val="24"/>
        </w:rPr>
        <w:t>(</w:t>
      </w:r>
      <w:r>
        <w:rPr>
          <w:sz w:val="24"/>
        </w:rPr>
        <w:t>污染物漂移云团经过的路径</w:t>
      </w:r>
      <w:r>
        <w:rPr>
          <w:rFonts w:asciiTheme="minorEastAsia" w:hAnsiTheme="minorEastAsia" w:eastAsiaTheme="minorEastAsia"/>
          <w:sz w:val="24"/>
        </w:rPr>
        <w:t>)</w:t>
      </w:r>
      <w:r>
        <w:rPr>
          <w:sz w:val="24"/>
        </w:rPr>
        <w:t>影响区域、掩体或低洼等位置，按一定间隔，如50m、100m、</w:t>
      </w:r>
      <w:r>
        <w:rPr>
          <w:rFonts w:hint="eastAsia"/>
          <w:sz w:val="24"/>
        </w:rPr>
        <w:t>15</w:t>
      </w:r>
      <w:r>
        <w:rPr>
          <w:sz w:val="24"/>
        </w:rPr>
        <w:t>0m、500m、</w:t>
      </w:r>
      <w:r>
        <w:rPr>
          <w:rFonts w:hint="eastAsia"/>
          <w:sz w:val="24"/>
        </w:rPr>
        <w:t>2</w:t>
      </w:r>
      <w:r>
        <w:rPr>
          <w:sz w:val="24"/>
        </w:rPr>
        <w:t>00m等处进行布点采样，并根据污染物的特点在不同高度采样。</w:t>
      </w:r>
    </w:p>
    <w:p>
      <w:pPr>
        <w:spacing w:line="480" w:lineRule="exact"/>
        <w:ind w:firstLine="480" w:firstLineChars="200"/>
        <w:rPr>
          <w:sz w:val="24"/>
        </w:rPr>
      </w:pPr>
      <w:r>
        <w:rPr>
          <w:sz w:val="24"/>
        </w:rPr>
        <w:t>同时，在事故发生地的上风向适当位置布设对照点。在距事故发生地最近的工厂、生活区、村庄或其他敏感区域应布点采样。采样过程中应注意风向的变化，及时调整采样点的位置。</w:t>
      </w:r>
    </w:p>
    <w:p>
      <w:pPr>
        <w:spacing w:line="480" w:lineRule="exact"/>
        <w:ind w:firstLine="480" w:firstLineChars="200"/>
        <w:rPr>
          <w:sz w:val="24"/>
        </w:rPr>
      </w:pPr>
      <w:r>
        <w:rPr>
          <w:rFonts w:ascii="宋体" w:hAnsi="宋体"/>
          <w:sz w:val="24"/>
        </w:rPr>
        <w:t>(</w:t>
      </w:r>
      <w:r>
        <w:rPr>
          <w:sz w:val="24"/>
        </w:rPr>
        <w:t>2</w:t>
      </w:r>
      <w:r>
        <w:rPr>
          <w:rFonts w:ascii="宋体" w:hAnsi="宋体"/>
          <w:sz w:val="24"/>
        </w:rPr>
        <w:t>)</w:t>
      </w:r>
      <w:r>
        <w:rPr>
          <w:sz w:val="24"/>
        </w:rPr>
        <w:t>对于</w:t>
      </w:r>
      <w:r>
        <w:rPr>
          <w:rFonts w:hint="eastAsia"/>
          <w:sz w:val="24"/>
        </w:rPr>
        <w:t>土壤</w:t>
      </w:r>
      <w:r>
        <w:rPr>
          <w:sz w:val="24"/>
        </w:rPr>
        <w:t>环境污染事故</w:t>
      </w:r>
    </w:p>
    <w:p>
      <w:pPr>
        <w:spacing w:line="480" w:lineRule="exact"/>
        <w:ind w:firstLine="480" w:firstLineChars="200"/>
        <w:rPr>
          <w:color w:val="000000"/>
          <w:sz w:val="24"/>
        </w:rPr>
      </w:pPr>
      <w:r>
        <w:rPr>
          <w:color w:val="000000"/>
          <w:sz w:val="24"/>
        </w:rPr>
        <w:t>监测点位以事故发生地为主，根据地形地貌等进行布点采样。</w:t>
      </w:r>
    </w:p>
    <w:p>
      <w:pPr>
        <w:spacing w:before="156" w:beforeLines="50" w:after="156" w:afterLines="50" w:line="480" w:lineRule="exact"/>
        <w:outlineLvl w:val="3"/>
        <w:rPr>
          <w:b/>
          <w:sz w:val="24"/>
        </w:rPr>
      </w:pPr>
      <w:bookmarkStart w:id="265" w:name="_Toc186202210"/>
      <w:bookmarkStart w:id="266" w:name="_Toc186202114"/>
      <w:bookmarkStart w:id="267" w:name="_Toc173569941"/>
      <w:bookmarkStart w:id="268" w:name="_Toc213578977"/>
      <w:r>
        <w:rPr>
          <w:rFonts w:hint="eastAsia"/>
          <w:b/>
          <w:sz w:val="24"/>
        </w:rPr>
        <w:t>7.5</w:t>
      </w:r>
      <w:r>
        <w:rPr>
          <w:b/>
          <w:sz w:val="24"/>
        </w:rPr>
        <w:t>.3.3 监测频次的确定</w:t>
      </w:r>
      <w:bookmarkEnd w:id="265"/>
      <w:bookmarkEnd w:id="266"/>
      <w:bookmarkEnd w:id="267"/>
      <w:bookmarkEnd w:id="268"/>
    </w:p>
    <w:p>
      <w:pPr>
        <w:spacing w:line="480" w:lineRule="exact"/>
        <w:ind w:firstLine="480" w:firstLineChars="200"/>
        <w:rPr>
          <w:sz w:val="24"/>
        </w:rPr>
      </w:pPr>
      <w:r>
        <w:rPr>
          <w:sz w:val="24"/>
        </w:rPr>
        <w:t>为了掌握事故发生后的污染程度、范围及变化趋势，需要实时进行连续的跟踪监测。应急监测全过程应在事发、事中和事后等不同阶段予以体现，但各个阶段的监测频次不尽相同，参见</w:t>
      </w:r>
      <w:r>
        <w:rPr>
          <w:rFonts w:hint="eastAsia"/>
          <w:sz w:val="24"/>
        </w:rPr>
        <w:t>下表</w:t>
      </w:r>
      <w:r>
        <w:rPr>
          <w:sz w:val="24"/>
        </w:rPr>
        <w:t>。</w:t>
      </w:r>
    </w:p>
    <w:p>
      <w:pPr>
        <w:spacing w:line="440" w:lineRule="exact"/>
        <w:jc w:val="center"/>
        <w:rPr>
          <w:b/>
        </w:rPr>
      </w:pPr>
      <w:r>
        <w:rPr>
          <w:b/>
        </w:rPr>
        <w:t>表</w:t>
      </w:r>
      <w:r>
        <w:rPr>
          <w:rFonts w:hint="eastAsia"/>
          <w:b/>
        </w:rPr>
        <w:t>7.4</w:t>
      </w:r>
      <w:r>
        <w:rPr>
          <w:b/>
        </w:rPr>
        <w:t>-1    应急监测频次的确定原则</w:t>
      </w:r>
    </w:p>
    <w:tbl>
      <w:tblPr>
        <w:tblStyle w:val="31"/>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239"/>
        <w:gridCol w:w="2587"/>
        <w:gridCol w:w="2812"/>
        <w:gridCol w:w="16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40" w:hRule="atLeast"/>
          <w:jc w:val="center"/>
        </w:trPr>
        <w:tc>
          <w:tcPr>
            <w:tcW w:w="1239" w:type="dxa"/>
            <w:vAlign w:val="center"/>
          </w:tcPr>
          <w:p>
            <w:pPr>
              <w:spacing w:line="320" w:lineRule="exact"/>
              <w:jc w:val="center"/>
              <w:rPr>
                <w:szCs w:val="21"/>
              </w:rPr>
            </w:pPr>
            <w:r>
              <w:rPr>
                <w:szCs w:val="21"/>
              </w:rPr>
              <w:t>事故类型</w:t>
            </w:r>
          </w:p>
        </w:tc>
        <w:tc>
          <w:tcPr>
            <w:tcW w:w="2587" w:type="dxa"/>
            <w:vAlign w:val="center"/>
          </w:tcPr>
          <w:p>
            <w:pPr>
              <w:spacing w:line="320" w:lineRule="exact"/>
              <w:jc w:val="center"/>
              <w:rPr>
                <w:szCs w:val="21"/>
              </w:rPr>
            </w:pPr>
            <w:r>
              <w:rPr>
                <w:szCs w:val="21"/>
              </w:rPr>
              <w:t>监测点位</w:t>
            </w:r>
          </w:p>
        </w:tc>
        <w:tc>
          <w:tcPr>
            <w:tcW w:w="2812" w:type="dxa"/>
            <w:vAlign w:val="center"/>
          </w:tcPr>
          <w:p>
            <w:pPr>
              <w:spacing w:line="320" w:lineRule="exact"/>
              <w:jc w:val="center"/>
              <w:rPr>
                <w:szCs w:val="21"/>
              </w:rPr>
            </w:pPr>
            <w:r>
              <w:rPr>
                <w:szCs w:val="21"/>
              </w:rPr>
              <w:t>应急监测频次</w:t>
            </w:r>
          </w:p>
        </w:tc>
        <w:tc>
          <w:tcPr>
            <w:tcW w:w="1658" w:type="dxa"/>
            <w:vAlign w:val="center"/>
          </w:tcPr>
          <w:p>
            <w:pPr>
              <w:spacing w:line="320" w:lineRule="exact"/>
              <w:jc w:val="center"/>
              <w:rPr>
                <w:szCs w:val="21"/>
              </w:rPr>
            </w:pPr>
            <w:r>
              <w:rPr>
                <w:rFonts w:hint="eastAsia"/>
                <w:szCs w:val="21"/>
              </w:rPr>
              <w:t>监测物质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40" w:hRule="atLeast"/>
          <w:jc w:val="center"/>
        </w:trPr>
        <w:tc>
          <w:tcPr>
            <w:tcW w:w="1239" w:type="dxa"/>
            <w:vMerge w:val="restart"/>
            <w:vAlign w:val="center"/>
          </w:tcPr>
          <w:p>
            <w:pPr>
              <w:spacing w:line="320" w:lineRule="exact"/>
              <w:jc w:val="center"/>
              <w:rPr>
                <w:szCs w:val="21"/>
              </w:rPr>
            </w:pPr>
            <w:r>
              <w:rPr>
                <w:szCs w:val="21"/>
              </w:rPr>
              <w:t>环境空气污染事故</w:t>
            </w:r>
          </w:p>
        </w:tc>
        <w:tc>
          <w:tcPr>
            <w:tcW w:w="2587" w:type="dxa"/>
            <w:vAlign w:val="center"/>
          </w:tcPr>
          <w:p>
            <w:pPr>
              <w:spacing w:line="320" w:lineRule="exact"/>
              <w:jc w:val="center"/>
              <w:rPr>
                <w:szCs w:val="21"/>
              </w:rPr>
            </w:pPr>
            <w:r>
              <w:rPr>
                <w:szCs w:val="21"/>
              </w:rPr>
              <w:t>事故发生地</w:t>
            </w:r>
          </w:p>
        </w:tc>
        <w:tc>
          <w:tcPr>
            <w:tcW w:w="2812" w:type="dxa"/>
            <w:vAlign w:val="center"/>
          </w:tcPr>
          <w:p>
            <w:pPr>
              <w:spacing w:line="320" w:lineRule="exact"/>
              <w:jc w:val="center"/>
              <w:rPr>
                <w:szCs w:val="21"/>
              </w:rPr>
            </w:pPr>
            <w:r>
              <w:rPr>
                <w:szCs w:val="21"/>
              </w:rPr>
              <w:t>初始加密</w:t>
            </w:r>
            <w:r>
              <w:rPr>
                <w:rFonts w:asciiTheme="minorEastAsia" w:hAnsiTheme="minorEastAsia" w:eastAsiaTheme="minorEastAsia"/>
                <w:szCs w:val="21"/>
              </w:rPr>
              <w:t>(</w:t>
            </w:r>
            <w:r>
              <w:rPr>
                <w:szCs w:val="21"/>
              </w:rPr>
              <w:t>6次/天</w:t>
            </w:r>
            <w:r>
              <w:rPr>
                <w:rFonts w:asciiTheme="minorEastAsia" w:hAnsiTheme="minorEastAsia" w:eastAsiaTheme="minorEastAsia"/>
                <w:szCs w:val="21"/>
              </w:rPr>
              <w:t>)</w:t>
            </w:r>
            <w:r>
              <w:rPr>
                <w:szCs w:val="21"/>
              </w:rPr>
              <w:t>监测，随着污染物浓度的下降逐渐降低频次</w:t>
            </w:r>
          </w:p>
        </w:tc>
        <w:tc>
          <w:tcPr>
            <w:tcW w:w="1658" w:type="dxa"/>
            <w:vMerge w:val="restart"/>
            <w:vAlign w:val="center"/>
          </w:tcPr>
          <w:p>
            <w:pPr>
              <w:spacing w:line="320" w:lineRule="exact"/>
              <w:jc w:val="center"/>
              <w:rPr>
                <w:szCs w:val="21"/>
              </w:rPr>
            </w:pPr>
            <w:r>
              <w:rPr>
                <w:rFonts w:hint="eastAsia"/>
                <w:szCs w:val="21"/>
              </w:rPr>
              <w:t>非甲烷总烃、H</w:t>
            </w:r>
            <w:r>
              <w:rPr>
                <w:szCs w:val="21"/>
                <w:vertAlign w:val="subscript"/>
              </w:rPr>
              <w:t>2</w:t>
            </w:r>
            <w:r>
              <w:rPr>
                <w:szCs w:val="21"/>
              </w:rPr>
              <w:t>S</w:t>
            </w:r>
            <w:r>
              <w:rPr>
                <w:rFonts w:hint="eastAsia"/>
                <w:szCs w:val="21"/>
              </w:rPr>
              <w:t>、臭气浓度、SO</w:t>
            </w:r>
            <w:r>
              <w:rPr>
                <w:szCs w:val="21"/>
                <w:vertAlign w:val="sub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40" w:hRule="atLeast"/>
          <w:jc w:val="center"/>
        </w:trPr>
        <w:tc>
          <w:tcPr>
            <w:tcW w:w="1239" w:type="dxa"/>
            <w:vMerge w:val="continue"/>
            <w:vAlign w:val="center"/>
          </w:tcPr>
          <w:p>
            <w:pPr>
              <w:spacing w:line="320" w:lineRule="exact"/>
              <w:jc w:val="center"/>
              <w:rPr>
                <w:szCs w:val="21"/>
              </w:rPr>
            </w:pPr>
          </w:p>
        </w:tc>
        <w:tc>
          <w:tcPr>
            <w:tcW w:w="2587" w:type="dxa"/>
            <w:vAlign w:val="center"/>
          </w:tcPr>
          <w:p>
            <w:pPr>
              <w:spacing w:line="320" w:lineRule="exact"/>
              <w:jc w:val="center"/>
              <w:rPr>
                <w:szCs w:val="21"/>
              </w:rPr>
            </w:pPr>
            <w:r>
              <w:rPr>
                <w:rFonts w:hint="eastAsia"/>
                <w:szCs w:val="21"/>
              </w:rPr>
              <w:t>事故发生地下风向厂界</w:t>
            </w:r>
          </w:p>
        </w:tc>
        <w:tc>
          <w:tcPr>
            <w:tcW w:w="2812" w:type="dxa"/>
            <w:vAlign w:val="center"/>
          </w:tcPr>
          <w:p>
            <w:pPr>
              <w:spacing w:line="320" w:lineRule="exact"/>
              <w:jc w:val="center"/>
              <w:rPr>
                <w:szCs w:val="21"/>
              </w:rPr>
            </w:pPr>
            <w:r>
              <w:rPr>
                <w:szCs w:val="21"/>
              </w:rPr>
              <w:t>初始加密</w:t>
            </w:r>
            <w:r>
              <w:rPr>
                <w:rFonts w:asciiTheme="minorEastAsia" w:hAnsiTheme="minorEastAsia" w:eastAsiaTheme="minorEastAsia"/>
                <w:szCs w:val="21"/>
              </w:rPr>
              <w:t>(</w:t>
            </w:r>
            <w:r>
              <w:rPr>
                <w:szCs w:val="21"/>
              </w:rPr>
              <w:t>6次/天</w:t>
            </w:r>
            <w:r>
              <w:rPr>
                <w:rFonts w:asciiTheme="minorEastAsia" w:hAnsiTheme="minorEastAsia" w:eastAsiaTheme="minorEastAsia"/>
                <w:szCs w:val="21"/>
              </w:rPr>
              <w:t>)</w:t>
            </w:r>
            <w:r>
              <w:rPr>
                <w:szCs w:val="21"/>
              </w:rPr>
              <w:t>监测，随着污染物浓度的下降逐渐降低频次</w:t>
            </w:r>
          </w:p>
        </w:tc>
        <w:tc>
          <w:tcPr>
            <w:tcW w:w="1658" w:type="dxa"/>
            <w:vMerge w:val="continue"/>
            <w:vAlign w:val="center"/>
          </w:tcPr>
          <w:p>
            <w:pPr>
              <w:spacing w:line="32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40" w:hRule="atLeast"/>
          <w:jc w:val="center"/>
        </w:trPr>
        <w:tc>
          <w:tcPr>
            <w:tcW w:w="1239" w:type="dxa"/>
            <w:vMerge w:val="continue"/>
            <w:vAlign w:val="center"/>
          </w:tcPr>
          <w:p>
            <w:pPr>
              <w:spacing w:line="320" w:lineRule="exact"/>
              <w:jc w:val="center"/>
              <w:rPr>
                <w:szCs w:val="21"/>
              </w:rPr>
            </w:pPr>
          </w:p>
        </w:tc>
        <w:tc>
          <w:tcPr>
            <w:tcW w:w="2587" w:type="dxa"/>
            <w:vAlign w:val="center"/>
          </w:tcPr>
          <w:p>
            <w:pPr>
              <w:spacing w:line="320" w:lineRule="exact"/>
              <w:jc w:val="center"/>
              <w:rPr>
                <w:szCs w:val="21"/>
              </w:rPr>
            </w:pPr>
            <w:r>
              <w:rPr>
                <w:szCs w:val="21"/>
              </w:rPr>
              <w:t>事故发生地周围居民区等敏感区域</w:t>
            </w:r>
          </w:p>
        </w:tc>
        <w:tc>
          <w:tcPr>
            <w:tcW w:w="2812" w:type="dxa"/>
            <w:vAlign w:val="center"/>
          </w:tcPr>
          <w:p>
            <w:pPr>
              <w:spacing w:line="320" w:lineRule="exact"/>
              <w:jc w:val="center"/>
              <w:rPr>
                <w:szCs w:val="21"/>
              </w:rPr>
            </w:pPr>
            <w:r>
              <w:rPr>
                <w:szCs w:val="21"/>
              </w:rPr>
              <w:t>初始加密</w:t>
            </w:r>
            <w:r>
              <w:rPr>
                <w:rFonts w:asciiTheme="minorEastAsia" w:hAnsiTheme="minorEastAsia" w:eastAsiaTheme="minorEastAsia"/>
                <w:szCs w:val="21"/>
              </w:rPr>
              <w:t>(</w:t>
            </w:r>
            <w:r>
              <w:rPr>
                <w:szCs w:val="21"/>
              </w:rPr>
              <w:t>6次/天</w:t>
            </w:r>
            <w:r>
              <w:rPr>
                <w:rFonts w:asciiTheme="minorEastAsia" w:hAnsiTheme="minorEastAsia" w:eastAsiaTheme="minorEastAsia"/>
                <w:szCs w:val="21"/>
              </w:rPr>
              <w:t>)</w:t>
            </w:r>
            <w:r>
              <w:rPr>
                <w:szCs w:val="21"/>
              </w:rPr>
              <w:t>监测，随着污染物浓度的下降逐渐降低频次</w:t>
            </w:r>
          </w:p>
        </w:tc>
        <w:tc>
          <w:tcPr>
            <w:tcW w:w="1658" w:type="dxa"/>
            <w:vMerge w:val="continue"/>
            <w:vAlign w:val="center"/>
          </w:tcPr>
          <w:p>
            <w:pPr>
              <w:spacing w:line="32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40" w:hRule="atLeast"/>
          <w:jc w:val="center"/>
        </w:trPr>
        <w:tc>
          <w:tcPr>
            <w:tcW w:w="1239" w:type="dxa"/>
            <w:vMerge w:val="continue"/>
            <w:vAlign w:val="center"/>
          </w:tcPr>
          <w:p>
            <w:pPr>
              <w:spacing w:line="320" w:lineRule="exact"/>
              <w:jc w:val="center"/>
              <w:rPr>
                <w:szCs w:val="21"/>
              </w:rPr>
            </w:pPr>
          </w:p>
        </w:tc>
        <w:tc>
          <w:tcPr>
            <w:tcW w:w="2587" w:type="dxa"/>
            <w:vAlign w:val="center"/>
          </w:tcPr>
          <w:p>
            <w:pPr>
              <w:spacing w:line="320" w:lineRule="exact"/>
              <w:jc w:val="center"/>
              <w:rPr>
                <w:szCs w:val="21"/>
              </w:rPr>
            </w:pPr>
            <w:r>
              <w:rPr>
                <w:szCs w:val="21"/>
              </w:rPr>
              <w:t>事故发生地下风向</w:t>
            </w:r>
          </w:p>
        </w:tc>
        <w:tc>
          <w:tcPr>
            <w:tcW w:w="2812" w:type="dxa"/>
            <w:vAlign w:val="center"/>
          </w:tcPr>
          <w:p>
            <w:pPr>
              <w:spacing w:line="320" w:lineRule="exact"/>
              <w:jc w:val="center"/>
              <w:rPr>
                <w:szCs w:val="21"/>
              </w:rPr>
            </w:pPr>
            <w:r>
              <w:rPr>
                <w:szCs w:val="21"/>
              </w:rPr>
              <w:t>4次/天或与事故发生地同频次</w:t>
            </w:r>
            <w:r>
              <w:rPr>
                <w:rFonts w:asciiTheme="minorEastAsia" w:hAnsiTheme="minorEastAsia" w:eastAsiaTheme="minorEastAsia"/>
                <w:szCs w:val="21"/>
              </w:rPr>
              <w:t>(</w:t>
            </w:r>
            <w:r>
              <w:rPr>
                <w:szCs w:val="21"/>
              </w:rPr>
              <w:t>应急期间</w:t>
            </w:r>
            <w:r>
              <w:rPr>
                <w:rFonts w:asciiTheme="minorEastAsia" w:hAnsiTheme="minorEastAsia" w:eastAsiaTheme="minorEastAsia"/>
                <w:szCs w:val="21"/>
              </w:rPr>
              <w:t>)</w:t>
            </w:r>
          </w:p>
        </w:tc>
        <w:tc>
          <w:tcPr>
            <w:tcW w:w="1658" w:type="dxa"/>
            <w:vMerge w:val="continue"/>
            <w:vAlign w:val="center"/>
          </w:tcPr>
          <w:p>
            <w:pPr>
              <w:spacing w:line="32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463" w:hRule="atLeast"/>
          <w:jc w:val="center"/>
        </w:trPr>
        <w:tc>
          <w:tcPr>
            <w:tcW w:w="1239" w:type="dxa"/>
            <w:vMerge w:val="continue"/>
            <w:vAlign w:val="center"/>
          </w:tcPr>
          <w:p>
            <w:pPr>
              <w:spacing w:line="320" w:lineRule="exact"/>
              <w:jc w:val="center"/>
              <w:rPr>
                <w:szCs w:val="21"/>
              </w:rPr>
            </w:pPr>
          </w:p>
        </w:tc>
        <w:tc>
          <w:tcPr>
            <w:tcW w:w="2587" w:type="dxa"/>
            <w:vAlign w:val="center"/>
          </w:tcPr>
          <w:p>
            <w:pPr>
              <w:spacing w:line="320" w:lineRule="exact"/>
              <w:jc w:val="center"/>
              <w:rPr>
                <w:szCs w:val="21"/>
              </w:rPr>
            </w:pPr>
            <w:r>
              <w:rPr>
                <w:szCs w:val="21"/>
              </w:rPr>
              <w:t>事故发生地上风向对照点</w:t>
            </w:r>
          </w:p>
        </w:tc>
        <w:tc>
          <w:tcPr>
            <w:tcW w:w="2812" w:type="dxa"/>
            <w:vAlign w:val="center"/>
          </w:tcPr>
          <w:p>
            <w:pPr>
              <w:spacing w:line="320" w:lineRule="exact"/>
              <w:jc w:val="center"/>
              <w:rPr>
                <w:szCs w:val="21"/>
              </w:rPr>
            </w:pPr>
            <w:r>
              <w:rPr>
                <w:szCs w:val="21"/>
              </w:rPr>
              <w:t>3次/天</w:t>
            </w:r>
            <w:r>
              <w:rPr>
                <w:rFonts w:asciiTheme="minorEastAsia" w:hAnsiTheme="minorEastAsia" w:eastAsiaTheme="minorEastAsia"/>
                <w:szCs w:val="21"/>
              </w:rPr>
              <w:t>(</w:t>
            </w:r>
            <w:r>
              <w:rPr>
                <w:szCs w:val="21"/>
              </w:rPr>
              <w:t>应急期间</w:t>
            </w:r>
            <w:r>
              <w:rPr>
                <w:rFonts w:asciiTheme="minorEastAsia" w:hAnsiTheme="minorEastAsia" w:eastAsiaTheme="minorEastAsia"/>
                <w:szCs w:val="21"/>
              </w:rPr>
              <w:t>)</w:t>
            </w:r>
          </w:p>
        </w:tc>
        <w:tc>
          <w:tcPr>
            <w:tcW w:w="1658" w:type="dxa"/>
            <w:vMerge w:val="continue"/>
            <w:vAlign w:val="center"/>
          </w:tcPr>
          <w:p>
            <w:pPr>
              <w:spacing w:line="32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463" w:hRule="atLeast"/>
          <w:jc w:val="center"/>
        </w:trPr>
        <w:tc>
          <w:tcPr>
            <w:tcW w:w="1239" w:type="dxa"/>
            <w:vAlign w:val="center"/>
          </w:tcPr>
          <w:p>
            <w:pPr>
              <w:spacing w:line="320" w:lineRule="exact"/>
              <w:jc w:val="center"/>
              <w:rPr>
                <w:color w:val="000000"/>
                <w:szCs w:val="21"/>
              </w:rPr>
            </w:pPr>
            <w:r>
              <w:rPr>
                <w:rFonts w:hint="eastAsia"/>
                <w:color w:val="000000"/>
                <w:szCs w:val="21"/>
              </w:rPr>
              <w:t>土壤</w:t>
            </w:r>
            <w:r>
              <w:rPr>
                <w:color w:val="000000"/>
                <w:szCs w:val="21"/>
              </w:rPr>
              <w:t>环境污染事故</w:t>
            </w:r>
          </w:p>
        </w:tc>
        <w:tc>
          <w:tcPr>
            <w:tcW w:w="2587" w:type="dxa"/>
            <w:vAlign w:val="center"/>
          </w:tcPr>
          <w:p>
            <w:pPr>
              <w:spacing w:line="320" w:lineRule="exact"/>
              <w:jc w:val="center"/>
              <w:rPr>
                <w:color w:val="000000"/>
                <w:szCs w:val="21"/>
              </w:rPr>
            </w:pPr>
            <w:r>
              <w:rPr>
                <w:rFonts w:hint="eastAsia" w:hAnsi="宋体"/>
                <w:color w:val="000000"/>
                <w:spacing w:val="-20"/>
                <w:sz w:val="23"/>
                <w:szCs w:val="23"/>
              </w:rPr>
              <w:t>以泄漏地点为中心圆形布点</w:t>
            </w:r>
          </w:p>
        </w:tc>
        <w:tc>
          <w:tcPr>
            <w:tcW w:w="2812" w:type="dxa"/>
            <w:vAlign w:val="center"/>
          </w:tcPr>
          <w:p>
            <w:pPr>
              <w:spacing w:line="320" w:lineRule="exact"/>
              <w:jc w:val="center"/>
              <w:rPr>
                <w:color w:val="000000"/>
                <w:szCs w:val="21"/>
              </w:rPr>
            </w:pPr>
            <w:r>
              <w:rPr>
                <w:rFonts w:hint="eastAsia" w:hAnsi="宋体"/>
                <w:color w:val="000000"/>
                <w:spacing w:val="-20"/>
                <w:sz w:val="23"/>
                <w:szCs w:val="23"/>
              </w:rPr>
              <w:t>初始加密</w:t>
            </w:r>
            <w:r>
              <w:rPr>
                <w:rFonts w:hint="eastAsia" w:ascii="宋体" w:hAnsi="宋体"/>
                <w:color w:val="000000"/>
                <w:spacing w:val="-20"/>
                <w:sz w:val="23"/>
                <w:szCs w:val="23"/>
              </w:rPr>
              <w:t>(</w:t>
            </w:r>
            <w:r>
              <w:rPr>
                <w:rFonts w:hint="eastAsia" w:hAnsi="宋体"/>
                <w:color w:val="000000"/>
                <w:spacing w:val="-20"/>
                <w:sz w:val="23"/>
                <w:szCs w:val="23"/>
              </w:rPr>
              <w:t>1次/天</w:t>
            </w:r>
            <w:r>
              <w:rPr>
                <w:rFonts w:hint="eastAsia" w:ascii="宋体" w:hAnsi="宋体"/>
                <w:color w:val="000000"/>
                <w:spacing w:val="-20"/>
                <w:sz w:val="23"/>
                <w:szCs w:val="23"/>
              </w:rPr>
              <w:t>)</w:t>
            </w:r>
            <w:r>
              <w:rPr>
                <w:rFonts w:hint="eastAsia" w:hAnsi="宋体"/>
                <w:color w:val="000000"/>
                <w:spacing w:val="-20"/>
                <w:sz w:val="23"/>
                <w:szCs w:val="23"/>
              </w:rPr>
              <w:t>监测，随着污染物浓度的下降逐渐降低频次</w:t>
            </w:r>
          </w:p>
        </w:tc>
        <w:tc>
          <w:tcPr>
            <w:tcW w:w="1658" w:type="dxa"/>
            <w:vAlign w:val="center"/>
          </w:tcPr>
          <w:p>
            <w:pPr>
              <w:spacing w:line="320" w:lineRule="exact"/>
              <w:jc w:val="center"/>
              <w:rPr>
                <w:szCs w:val="21"/>
              </w:rPr>
            </w:pPr>
            <w:r>
              <w:rPr>
                <w:rFonts w:hint="eastAsia"/>
                <w:szCs w:val="21"/>
              </w:rPr>
              <w:t>pH、石油类</w:t>
            </w:r>
          </w:p>
        </w:tc>
      </w:tr>
      <w:bookmarkEnd w:id="238"/>
      <w:bookmarkEnd w:id="239"/>
      <w:bookmarkEnd w:id="240"/>
      <w:bookmarkEnd w:id="241"/>
      <w:bookmarkEnd w:id="242"/>
      <w:bookmarkEnd w:id="243"/>
      <w:bookmarkEnd w:id="244"/>
    </w:tbl>
    <w:p>
      <w:pPr>
        <w:spacing w:line="440" w:lineRule="exact"/>
        <w:outlineLvl w:val="2"/>
        <w:rPr>
          <w:rFonts w:eastAsia="黑体"/>
          <w:b/>
          <w:snapToGrid w:val="0"/>
          <w:spacing w:val="4"/>
          <w:kern w:val="0"/>
          <w:sz w:val="24"/>
          <w:szCs w:val="28"/>
        </w:rPr>
      </w:pPr>
      <w:bookmarkStart w:id="269" w:name="_Toc475831209"/>
      <w:bookmarkStart w:id="270" w:name="_Toc10105702"/>
      <w:bookmarkStart w:id="271" w:name="_Toc524953712"/>
      <w:r>
        <w:rPr>
          <w:rFonts w:hint="eastAsia" w:eastAsia="黑体"/>
          <w:b/>
          <w:snapToGrid w:val="0"/>
          <w:spacing w:val="4"/>
          <w:kern w:val="0"/>
          <w:sz w:val="24"/>
          <w:szCs w:val="28"/>
        </w:rPr>
        <w:t>7.5</w:t>
      </w:r>
      <w:r>
        <w:rPr>
          <w:rFonts w:eastAsia="黑体"/>
          <w:b/>
          <w:snapToGrid w:val="0"/>
          <w:spacing w:val="4"/>
          <w:kern w:val="0"/>
          <w:sz w:val="24"/>
          <w:szCs w:val="28"/>
        </w:rPr>
        <w:t>.4 应急监测</w:t>
      </w:r>
      <w:bookmarkEnd w:id="269"/>
      <w:r>
        <w:rPr>
          <w:rFonts w:hint="eastAsia" w:eastAsia="黑体"/>
          <w:b/>
          <w:snapToGrid w:val="0"/>
          <w:spacing w:val="4"/>
          <w:kern w:val="0"/>
          <w:sz w:val="24"/>
          <w:szCs w:val="28"/>
        </w:rPr>
        <w:t>因子及方法</w:t>
      </w:r>
      <w:bookmarkEnd w:id="270"/>
      <w:bookmarkEnd w:id="271"/>
    </w:p>
    <w:p>
      <w:pPr>
        <w:spacing w:line="440" w:lineRule="exact"/>
        <w:ind w:firstLine="480" w:firstLineChars="200"/>
        <w:rPr>
          <w:sz w:val="24"/>
        </w:rPr>
      </w:pPr>
      <w:r>
        <w:rPr>
          <w:sz w:val="24"/>
        </w:rPr>
        <w:t>应急监测</w:t>
      </w:r>
      <w:r>
        <w:rPr>
          <w:rFonts w:hint="eastAsia"/>
          <w:sz w:val="24"/>
        </w:rPr>
        <w:t>因子及检测手段</w:t>
      </w:r>
      <w:r>
        <w:rPr>
          <w:sz w:val="24"/>
        </w:rPr>
        <w:t>见</w:t>
      </w:r>
      <w:r>
        <w:rPr>
          <w:rFonts w:hint="eastAsia"/>
          <w:sz w:val="24"/>
        </w:rPr>
        <w:t>下表</w:t>
      </w:r>
      <w:r>
        <w:rPr>
          <w:sz w:val="24"/>
        </w:rPr>
        <w:t>。</w:t>
      </w:r>
    </w:p>
    <w:p>
      <w:pPr>
        <w:spacing w:line="440" w:lineRule="exact"/>
        <w:jc w:val="center"/>
        <w:rPr>
          <w:b/>
        </w:rPr>
      </w:pPr>
      <w:r>
        <w:rPr>
          <w:b/>
        </w:rPr>
        <w:t>表</w:t>
      </w:r>
      <w:r>
        <w:rPr>
          <w:rFonts w:hint="eastAsia"/>
          <w:b/>
        </w:rPr>
        <w:t>7.4</w:t>
      </w:r>
      <w:r>
        <w:rPr>
          <w:b/>
        </w:rPr>
        <w:t>-2    应急监测</w:t>
      </w:r>
      <w:r>
        <w:rPr>
          <w:rFonts w:hint="eastAsia"/>
          <w:b/>
        </w:rPr>
        <w:t>因子及方法</w:t>
      </w:r>
    </w:p>
    <w:tbl>
      <w:tblPr>
        <w:tblStyle w:val="31"/>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470"/>
        <w:gridCol w:w="1512"/>
        <w:gridCol w:w="2953"/>
        <w:gridCol w:w="23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340" w:hRule="atLeast"/>
          <w:tblHeader/>
          <w:jc w:val="center"/>
        </w:trPr>
        <w:tc>
          <w:tcPr>
            <w:tcW w:w="1470" w:type="dxa"/>
            <w:tcMar>
              <w:left w:w="28" w:type="dxa"/>
              <w:right w:w="28" w:type="dxa"/>
            </w:tcMar>
            <w:vAlign w:val="center"/>
          </w:tcPr>
          <w:p>
            <w:pPr>
              <w:spacing w:line="320" w:lineRule="exact"/>
              <w:jc w:val="center"/>
              <w:rPr>
                <w:szCs w:val="21"/>
              </w:rPr>
            </w:pPr>
            <w:r>
              <w:rPr>
                <w:szCs w:val="21"/>
              </w:rPr>
              <w:t>监测类别</w:t>
            </w:r>
          </w:p>
        </w:tc>
        <w:tc>
          <w:tcPr>
            <w:tcW w:w="1512" w:type="dxa"/>
            <w:tcMar>
              <w:left w:w="28" w:type="dxa"/>
              <w:right w:w="28" w:type="dxa"/>
            </w:tcMar>
            <w:vAlign w:val="center"/>
          </w:tcPr>
          <w:p>
            <w:pPr>
              <w:spacing w:line="320" w:lineRule="exact"/>
              <w:jc w:val="center"/>
              <w:rPr>
                <w:szCs w:val="21"/>
              </w:rPr>
            </w:pPr>
            <w:r>
              <w:rPr>
                <w:szCs w:val="21"/>
              </w:rPr>
              <w:t>序号</w:t>
            </w:r>
          </w:p>
        </w:tc>
        <w:tc>
          <w:tcPr>
            <w:tcW w:w="2953" w:type="dxa"/>
            <w:vAlign w:val="center"/>
          </w:tcPr>
          <w:p>
            <w:pPr>
              <w:spacing w:line="320" w:lineRule="exact"/>
              <w:jc w:val="center"/>
              <w:rPr>
                <w:szCs w:val="21"/>
              </w:rPr>
            </w:pPr>
            <w:r>
              <w:rPr>
                <w:szCs w:val="21"/>
              </w:rPr>
              <w:t>监测项目</w:t>
            </w:r>
          </w:p>
        </w:tc>
        <w:tc>
          <w:tcPr>
            <w:tcW w:w="2361" w:type="dxa"/>
          </w:tcPr>
          <w:p>
            <w:pPr>
              <w:spacing w:line="320" w:lineRule="exact"/>
              <w:jc w:val="center"/>
              <w:rPr>
                <w:szCs w:val="21"/>
              </w:rPr>
            </w:pPr>
            <w:r>
              <w:rPr>
                <w:rFonts w:hint="eastAsia"/>
                <w:szCs w:val="21"/>
              </w:rPr>
              <w:t>监测方法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340" w:hRule="atLeast"/>
          <w:tblHeader/>
          <w:jc w:val="center"/>
        </w:trPr>
        <w:tc>
          <w:tcPr>
            <w:tcW w:w="1470" w:type="dxa"/>
            <w:tcMar>
              <w:left w:w="28" w:type="dxa"/>
              <w:right w:w="28" w:type="dxa"/>
            </w:tcMar>
            <w:vAlign w:val="center"/>
          </w:tcPr>
          <w:p>
            <w:pPr>
              <w:spacing w:line="320" w:lineRule="exact"/>
              <w:jc w:val="center"/>
              <w:rPr>
                <w:szCs w:val="21"/>
              </w:rPr>
            </w:pPr>
            <w:r>
              <w:rPr>
                <w:szCs w:val="21"/>
              </w:rPr>
              <w:t>废气</w:t>
            </w:r>
          </w:p>
        </w:tc>
        <w:tc>
          <w:tcPr>
            <w:tcW w:w="1512" w:type="dxa"/>
            <w:tcMar>
              <w:left w:w="28" w:type="dxa"/>
              <w:right w:w="28" w:type="dxa"/>
            </w:tcMar>
            <w:vAlign w:val="center"/>
          </w:tcPr>
          <w:p>
            <w:pPr>
              <w:spacing w:line="320" w:lineRule="exact"/>
              <w:jc w:val="center"/>
              <w:rPr>
                <w:szCs w:val="21"/>
              </w:rPr>
            </w:pPr>
            <w:r>
              <w:rPr>
                <w:szCs w:val="21"/>
              </w:rPr>
              <w:t>1</w:t>
            </w:r>
          </w:p>
        </w:tc>
        <w:tc>
          <w:tcPr>
            <w:tcW w:w="2953" w:type="dxa"/>
            <w:tcMar>
              <w:left w:w="28" w:type="dxa"/>
              <w:right w:w="28" w:type="dxa"/>
            </w:tcMar>
            <w:vAlign w:val="center"/>
          </w:tcPr>
          <w:p>
            <w:pPr>
              <w:spacing w:line="320" w:lineRule="exact"/>
              <w:jc w:val="center"/>
              <w:rPr>
                <w:szCs w:val="21"/>
              </w:rPr>
            </w:pPr>
            <w:r>
              <w:rPr>
                <w:rFonts w:hint="eastAsia"/>
                <w:szCs w:val="21"/>
              </w:rPr>
              <w:t>非甲烷总烃、</w:t>
            </w:r>
            <w:r>
              <w:rPr>
                <w:rFonts w:hint="eastAsia"/>
                <w:color w:val="000000"/>
                <w:szCs w:val="21"/>
              </w:rPr>
              <w:t>CO、</w:t>
            </w:r>
            <w:r>
              <w:rPr>
                <w:rFonts w:hint="eastAsia"/>
                <w:szCs w:val="21"/>
              </w:rPr>
              <w:t>CO</w:t>
            </w:r>
            <w:r>
              <w:rPr>
                <w:szCs w:val="21"/>
                <w:vertAlign w:val="subscript"/>
              </w:rPr>
              <w:t>2</w:t>
            </w:r>
          </w:p>
        </w:tc>
        <w:tc>
          <w:tcPr>
            <w:tcW w:w="2361" w:type="dxa"/>
            <w:vAlign w:val="center"/>
          </w:tcPr>
          <w:p>
            <w:pPr>
              <w:spacing w:line="320" w:lineRule="exact"/>
              <w:jc w:val="center"/>
              <w:rPr>
                <w:szCs w:val="21"/>
              </w:rPr>
            </w:pPr>
            <w:r>
              <w:rPr>
                <w:szCs w:val="21"/>
              </w:rPr>
              <w:t>非分散红外线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340" w:hRule="atLeast"/>
          <w:tblHeader/>
          <w:jc w:val="center"/>
        </w:trPr>
        <w:tc>
          <w:tcPr>
            <w:tcW w:w="1470" w:type="dxa"/>
            <w:tcMar>
              <w:left w:w="28" w:type="dxa"/>
              <w:right w:w="28" w:type="dxa"/>
            </w:tcMar>
            <w:vAlign w:val="center"/>
          </w:tcPr>
          <w:p>
            <w:pPr>
              <w:spacing w:line="320" w:lineRule="exact"/>
              <w:jc w:val="center"/>
              <w:rPr>
                <w:szCs w:val="21"/>
              </w:rPr>
            </w:pPr>
            <w:r>
              <w:rPr>
                <w:rFonts w:hint="eastAsia"/>
                <w:szCs w:val="21"/>
              </w:rPr>
              <w:t>土壤</w:t>
            </w:r>
          </w:p>
        </w:tc>
        <w:tc>
          <w:tcPr>
            <w:tcW w:w="1512" w:type="dxa"/>
            <w:tcMar>
              <w:left w:w="28" w:type="dxa"/>
              <w:right w:w="28" w:type="dxa"/>
            </w:tcMar>
            <w:vAlign w:val="center"/>
          </w:tcPr>
          <w:p>
            <w:pPr>
              <w:spacing w:line="320" w:lineRule="exact"/>
              <w:jc w:val="center"/>
              <w:rPr>
                <w:szCs w:val="21"/>
              </w:rPr>
            </w:pPr>
            <w:r>
              <w:rPr>
                <w:rFonts w:hint="eastAsia"/>
                <w:szCs w:val="21"/>
              </w:rPr>
              <w:t>2</w:t>
            </w:r>
          </w:p>
        </w:tc>
        <w:tc>
          <w:tcPr>
            <w:tcW w:w="2953" w:type="dxa"/>
            <w:tcMar>
              <w:left w:w="28" w:type="dxa"/>
              <w:right w:w="28" w:type="dxa"/>
            </w:tcMar>
            <w:vAlign w:val="center"/>
          </w:tcPr>
          <w:p>
            <w:pPr>
              <w:spacing w:line="320" w:lineRule="exact"/>
              <w:jc w:val="center"/>
              <w:rPr>
                <w:szCs w:val="21"/>
              </w:rPr>
            </w:pPr>
            <w:r>
              <w:rPr>
                <w:rFonts w:hint="eastAsia"/>
                <w:szCs w:val="21"/>
              </w:rPr>
              <w:t>pH、石油类</w:t>
            </w:r>
          </w:p>
        </w:tc>
        <w:tc>
          <w:tcPr>
            <w:tcW w:w="2361" w:type="dxa"/>
            <w:vAlign w:val="center"/>
          </w:tcPr>
          <w:p>
            <w:pPr>
              <w:spacing w:line="320" w:lineRule="exact"/>
              <w:jc w:val="center"/>
              <w:rPr>
                <w:szCs w:val="21"/>
              </w:rPr>
            </w:pPr>
            <w:r>
              <w:rPr>
                <w:szCs w:val="21"/>
              </w:rPr>
              <w:t>红外分光光度法</w:t>
            </w:r>
          </w:p>
        </w:tc>
      </w:tr>
    </w:tbl>
    <w:p/>
    <w:p>
      <w:pPr>
        <w:pStyle w:val="45"/>
        <w:spacing w:line="500" w:lineRule="exact"/>
        <w:ind w:firstLine="0" w:firstLineChars="0"/>
        <w:outlineLvl w:val="0"/>
        <w:rPr>
          <w:rFonts w:ascii="Times New Roman" w:hAnsi="Times New Roman" w:cs="Times New Roman"/>
          <w:b/>
          <w:sz w:val="32"/>
          <w:szCs w:val="32"/>
        </w:rPr>
        <w:sectPr>
          <w:pgSz w:w="11906" w:h="16838"/>
          <w:pgMar w:top="1440" w:right="1800" w:bottom="1440" w:left="1800" w:header="851" w:footer="992" w:gutter="0"/>
          <w:cols w:space="425" w:num="1"/>
          <w:docGrid w:type="lines" w:linePitch="312" w:charSpace="0"/>
        </w:sectPr>
      </w:pPr>
    </w:p>
    <w:p>
      <w:pPr>
        <w:outlineLvl w:val="0"/>
        <w:rPr>
          <w:rFonts w:eastAsia="楷体"/>
          <w:b/>
          <w:snapToGrid w:val="0"/>
          <w:spacing w:val="4"/>
          <w:kern w:val="0"/>
          <w:sz w:val="30"/>
          <w:szCs w:val="32"/>
        </w:rPr>
      </w:pPr>
      <w:bookmarkStart w:id="272" w:name="_Toc10105703"/>
      <w:r>
        <w:rPr>
          <w:rFonts w:hint="eastAsia" w:eastAsia="楷体"/>
          <w:b/>
          <w:snapToGrid w:val="0"/>
          <w:spacing w:val="4"/>
          <w:kern w:val="0"/>
          <w:sz w:val="30"/>
          <w:szCs w:val="32"/>
        </w:rPr>
        <w:t>8</w:t>
      </w:r>
      <w:r>
        <w:rPr>
          <w:rFonts w:eastAsia="楷体"/>
          <w:b/>
          <w:snapToGrid w:val="0"/>
          <w:spacing w:val="4"/>
          <w:kern w:val="0"/>
          <w:sz w:val="30"/>
          <w:szCs w:val="32"/>
        </w:rPr>
        <w:t>应急终止</w:t>
      </w:r>
      <w:bookmarkEnd w:id="234"/>
      <w:bookmarkEnd w:id="272"/>
    </w:p>
    <w:p>
      <w:pPr>
        <w:spacing w:line="440" w:lineRule="exact"/>
        <w:ind w:firstLine="480" w:firstLineChars="200"/>
        <w:rPr>
          <w:sz w:val="24"/>
        </w:rPr>
      </w:pPr>
      <w:r>
        <w:rPr>
          <w:rFonts w:hAnsi="宋体"/>
          <w:sz w:val="24"/>
        </w:rPr>
        <w:t>明确应急终止的条件。事故现场得以控制，环境符合有关标准，导致次生、衍生事故隐患消除后，经事故现场应急指挥机构批准后，现场应急处置结束。应急结束后，应明确：</w:t>
      </w:r>
    </w:p>
    <w:p>
      <w:pPr>
        <w:spacing w:line="440" w:lineRule="exact"/>
        <w:ind w:firstLine="480" w:firstLineChars="200"/>
        <w:rPr>
          <w:sz w:val="24"/>
        </w:rPr>
      </w:pPr>
      <w:r>
        <w:rPr>
          <w:rFonts w:hAnsi="宋体"/>
          <w:sz w:val="24"/>
        </w:rPr>
        <w:t>（</w:t>
      </w:r>
      <w:r>
        <w:rPr>
          <w:sz w:val="24"/>
        </w:rPr>
        <w:t>1</w:t>
      </w:r>
      <w:r>
        <w:rPr>
          <w:rFonts w:hAnsi="宋体"/>
          <w:sz w:val="24"/>
        </w:rPr>
        <w:t>）通知上级有关单位、本单位相关部门事故危险已解除；</w:t>
      </w:r>
    </w:p>
    <w:p>
      <w:pPr>
        <w:spacing w:line="440" w:lineRule="exact"/>
        <w:ind w:firstLine="480" w:firstLineChars="200"/>
        <w:rPr>
          <w:sz w:val="24"/>
        </w:rPr>
      </w:pPr>
      <w:r>
        <w:rPr>
          <w:rFonts w:hAnsi="宋体"/>
          <w:sz w:val="24"/>
        </w:rPr>
        <w:t>（</w:t>
      </w:r>
      <w:r>
        <w:rPr>
          <w:sz w:val="24"/>
        </w:rPr>
        <w:t>2</w:t>
      </w:r>
      <w:r>
        <w:rPr>
          <w:rFonts w:hAnsi="宋体"/>
          <w:sz w:val="24"/>
        </w:rPr>
        <w:t>）事故情况上报事项；</w:t>
      </w:r>
    </w:p>
    <w:p>
      <w:pPr>
        <w:spacing w:line="440" w:lineRule="exact"/>
        <w:ind w:firstLine="480" w:firstLineChars="200"/>
        <w:rPr>
          <w:sz w:val="24"/>
        </w:rPr>
      </w:pPr>
      <w:r>
        <w:rPr>
          <w:rFonts w:hAnsi="宋体"/>
          <w:sz w:val="24"/>
        </w:rPr>
        <w:t>（</w:t>
      </w:r>
      <w:r>
        <w:rPr>
          <w:sz w:val="24"/>
        </w:rPr>
        <w:t>3</w:t>
      </w:r>
      <w:r>
        <w:rPr>
          <w:rFonts w:hAnsi="宋体"/>
          <w:sz w:val="24"/>
        </w:rPr>
        <w:t>）需向事故调查小组移交的相关事项；</w:t>
      </w:r>
    </w:p>
    <w:p>
      <w:pPr>
        <w:spacing w:line="440" w:lineRule="exact"/>
        <w:ind w:firstLine="480" w:firstLineChars="200"/>
        <w:rPr>
          <w:sz w:val="24"/>
        </w:rPr>
      </w:pPr>
      <w:r>
        <w:rPr>
          <w:rFonts w:hAnsi="宋体"/>
          <w:sz w:val="24"/>
        </w:rPr>
        <w:t>（</w:t>
      </w:r>
      <w:r>
        <w:rPr>
          <w:sz w:val="24"/>
        </w:rPr>
        <w:t>4</w:t>
      </w:r>
      <w:r>
        <w:rPr>
          <w:rFonts w:hAnsi="宋体"/>
          <w:sz w:val="24"/>
        </w:rPr>
        <w:t>）事故损失调查与责任认定；</w:t>
      </w:r>
    </w:p>
    <w:p>
      <w:pPr>
        <w:spacing w:line="440" w:lineRule="exact"/>
        <w:ind w:firstLine="480" w:firstLineChars="200"/>
        <w:rPr>
          <w:sz w:val="24"/>
        </w:rPr>
      </w:pPr>
      <w:r>
        <w:rPr>
          <w:rFonts w:hAnsi="宋体"/>
          <w:sz w:val="24"/>
        </w:rPr>
        <w:t>（</w:t>
      </w:r>
      <w:r>
        <w:rPr>
          <w:sz w:val="24"/>
        </w:rPr>
        <w:t>5</w:t>
      </w:r>
      <w:r>
        <w:rPr>
          <w:rFonts w:hAnsi="宋体"/>
          <w:sz w:val="24"/>
        </w:rPr>
        <w:t>）事故应急处置工作总结报告；</w:t>
      </w:r>
    </w:p>
    <w:p>
      <w:pPr>
        <w:spacing w:line="440" w:lineRule="exact"/>
        <w:ind w:firstLine="480" w:firstLineChars="200"/>
        <w:rPr>
          <w:bCs/>
          <w:color w:val="000000"/>
          <w:sz w:val="24"/>
        </w:rPr>
      </w:pPr>
      <w:r>
        <w:rPr>
          <w:rFonts w:hAnsi="宋体"/>
          <w:sz w:val="24"/>
        </w:rPr>
        <w:t>（</w:t>
      </w:r>
      <w:r>
        <w:rPr>
          <w:sz w:val="24"/>
        </w:rPr>
        <w:t>6</w:t>
      </w:r>
      <w:r>
        <w:rPr>
          <w:rFonts w:hAnsi="宋体"/>
          <w:sz w:val="24"/>
        </w:rPr>
        <w:t>）突发环境事件应急预案的修订。</w:t>
      </w:r>
    </w:p>
    <w:p>
      <w:pPr>
        <w:spacing w:before="60" w:after="60" w:line="500" w:lineRule="exact"/>
        <w:outlineLvl w:val="1"/>
        <w:rPr>
          <w:rFonts w:eastAsia="黑体"/>
          <w:b/>
          <w:snapToGrid w:val="0"/>
          <w:spacing w:val="4"/>
          <w:kern w:val="0"/>
          <w:sz w:val="28"/>
          <w:szCs w:val="30"/>
        </w:rPr>
      </w:pPr>
      <w:bookmarkStart w:id="273" w:name="_Toc428795931"/>
      <w:bookmarkStart w:id="274" w:name="_Toc428802632"/>
      <w:bookmarkStart w:id="275" w:name="_Toc396725963"/>
      <w:bookmarkStart w:id="276" w:name="_Toc398113407"/>
      <w:bookmarkStart w:id="277" w:name="_Toc428408858"/>
      <w:bookmarkStart w:id="278" w:name="_Toc484164012"/>
      <w:bookmarkStart w:id="279" w:name="_Toc428190642"/>
      <w:bookmarkStart w:id="280" w:name="_Toc10105704"/>
      <w:r>
        <w:rPr>
          <w:rFonts w:hint="eastAsia" w:eastAsia="黑体"/>
          <w:b/>
          <w:snapToGrid w:val="0"/>
          <w:spacing w:val="4"/>
          <w:kern w:val="0"/>
          <w:sz w:val="28"/>
          <w:szCs w:val="30"/>
        </w:rPr>
        <w:t>8</w:t>
      </w:r>
      <w:r>
        <w:rPr>
          <w:rFonts w:eastAsia="黑体"/>
          <w:b/>
          <w:snapToGrid w:val="0"/>
          <w:spacing w:val="4"/>
          <w:kern w:val="0"/>
          <w:sz w:val="28"/>
          <w:szCs w:val="30"/>
        </w:rPr>
        <w:t>.1应急终止的条件</w:t>
      </w:r>
      <w:bookmarkEnd w:id="273"/>
      <w:bookmarkEnd w:id="274"/>
      <w:bookmarkEnd w:id="275"/>
      <w:bookmarkEnd w:id="276"/>
      <w:bookmarkEnd w:id="277"/>
      <w:bookmarkEnd w:id="278"/>
      <w:bookmarkEnd w:id="279"/>
      <w:bookmarkEnd w:id="280"/>
    </w:p>
    <w:p>
      <w:pPr>
        <w:spacing w:line="440" w:lineRule="exact"/>
        <w:ind w:firstLine="480" w:firstLineChars="200"/>
        <w:rPr>
          <w:rFonts w:hAnsi="宋体"/>
          <w:sz w:val="24"/>
        </w:rPr>
      </w:pPr>
      <w:r>
        <w:rPr>
          <w:rFonts w:hint="eastAsia" w:hAnsi="宋体"/>
          <w:sz w:val="24"/>
        </w:rPr>
        <w:t>凡符合下列条件之一的，即满足应急终止条件：</w:t>
      </w:r>
    </w:p>
    <w:p>
      <w:pPr>
        <w:spacing w:line="440" w:lineRule="exact"/>
        <w:ind w:firstLine="480" w:firstLineChars="200"/>
        <w:rPr>
          <w:rFonts w:hAnsi="宋体"/>
          <w:sz w:val="24"/>
        </w:rPr>
      </w:pPr>
      <w:r>
        <w:rPr>
          <w:rFonts w:hint="eastAsia" w:hAnsi="宋体"/>
          <w:sz w:val="24"/>
        </w:rPr>
        <w:t>（1）事故现场得到控制，事故条件已经消除；</w:t>
      </w:r>
    </w:p>
    <w:p>
      <w:pPr>
        <w:spacing w:line="440" w:lineRule="exact"/>
        <w:ind w:firstLine="480" w:firstLineChars="200"/>
        <w:rPr>
          <w:rFonts w:hAnsi="宋体"/>
          <w:sz w:val="24"/>
        </w:rPr>
      </w:pPr>
      <w:r>
        <w:rPr>
          <w:rFonts w:hint="eastAsia" w:hAnsi="宋体"/>
          <w:sz w:val="24"/>
        </w:rPr>
        <w:t>（2）污染源的泄漏或释放已降至规定限值以下，且事故造成的危害已经被消除，无继发可能。</w:t>
      </w:r>
    </w:p>
    <w:p>
      <w:pPr>
        <w:spacing w:line="440" w:lineRule="exact"/>
        <w:ind w:firstLine="480" w:firstLineChars="200"/>
        <w:rPr>
          <w:rFonts w:hAnsi="宋体"/>
          <w:sz w:val="24"/>
        </w:rPr>
      </w:pPr>
      <w:r>
        <w:rPr>
          <w:rFonts w:hint="eastAsia" w:hAnsi="宋体"/>
          <w:sz w:val="24"/>
        </w:rPr>
        <w:t>（3）事故现场的各种专业应急处置行动已无继续的必要；</w:t>
      </w:r>
    </w:p>
    <w:p>
      <w:pPr>
        <w:spacing w:line="440" w:lineRule="exact"/>
        <w:ind w:firstLine="480" w:firstLineChars="200"/>
        <w:rPr>
          <w:rFonts w:hAnsi="宋体"/>
          <w:sz w:val="24"/>
        </w:rPr>
      </w:pPr>
      <w:r>
        <w:rPr>
          <w:rFonts w:hint="eastAsia" w:hAnsi="宋体"/>
          <w:sz w:val="24"/>
        </w:rPr>
        <w:t>（4）采取了必要的防护措施以保护公众免受再次危害，并使事件可能引起的中长期影响趋于合理且尽量低的水平。</w:t>
      </w:r>
    </w:p>
    <w:p>
      <w:pPr>
        <w:spacing w:before="60" w:after="60" w:line="500" w:lineRule="exact"/>
        <w:outlineLvl w:val="1"/>
        <w:rPr>
          <w:rFonts w:eastAsia="黑体"/>
          <w:b/>
          <w:snapToGrid w:val="0"/>
          <w:spacing w:val="4"/>
          <w:kern w:val="0"/>
          <w:sz w:val="28"/>
          <w:szCs w:val="30"/>
        </w:rPr>
      </w:pPr>
      <w:bookmarkStart w:id="281" w:name="_Toc396725964"/>
      <w:bookmarkStart w:id="282" w:name="_Toc398113408"/>
      <w:bookmarkStart w:id="283" w:name="_Toc428190643"/>
      <w:bookmarkStart w:id="284" w:name="_Toc428408859"/>
      <w:bookmarkStart w:id="285" w:name="_Toc428795932"/>
      <w:bookmarkStart w:id="286" w:name="_Toc428802633"/>
      <w:bookmarkStart w:id="287" w:name="_Toc484164013"/>
      <w:bookmarkStart w:id="288" w:name="_Toc10105705"/>
      <w:r>
        <w:rPr>
          <w:rFonts w:hint="eastAsia" w:eastAsia="黑体"/>
          <w:b/>
          <w:snapToGrid w:val="0"/>
          <w:spacing w:val="4"/>
          <w:kern w:val="0"/>
          <w:sz w:val="28"/>
          <w:szCs w:val="30"/>
        </w:rPr>
        <w:t>8</w:t>
      </w:r>
      <w:r>
        <w:rPr>
          <w:rFonts w:eastAsia="黑体"/>
          <w:b/>
          <w:snapToGrid w:val="0"/>
          <w:spacing w:val="4"/>
          <w:kern w:val="0"/>
          <w:sz w:val="28"/>
          <w:szCs w:val="30"/>
        </w:rPr>
        <w:t>.2应急终止的程序</w:t>
      </w:r>
      <w:bookmarkEnd w:id="281"/>
      <w:bookmarkEnd w:id="282"/>
      <w:bookmarkEnd w:id="283"/>
      <w:bookmarkEnd w:id="284"/>
      <w:bookmarkEnd w:id="285"/>
      <w:bookmarkEnd w:id="286"/>
      <w:bookmarkEnd w:id="287"/>
      <w:bookmarkEnd w:id="288"/>
    </w:p>
    <w:p>
      <w:pPr>
        <w:spacing w:line="440" w:lineRule="exact"/>
        <w:ind w:firstLine="480" w:firstLineChars="200"/>
        <w:rPr>
          <w:rFonts w:hAnsi="宋体"/>
          <w:sz w:val="24"/>
        </w:rPr>
      </w:pPr>
      <w:r>
        <w:rPr>
          <w:rFonts w:hint="eastAsia" w:hAnsi="宋体"/>
          <w:sz w:val="24"/>
        </w:rPr>
        <w:t>（1）各应急队伍依次向应急指挥部报告应急处置情况，以及现场当前状态，包括人员伤亡情况、设备损失情况、环境污染情况等。应急指挥部根据情况确认终止时机，宣布终止应急响应。</w:t>
      </w:r>
    </w:p>
    <w:p>
      <w:pPr>
        <w:spacing w:line="440" w:lineRule="exact"/>
        <w:ind w:firstLine="480" w:firstLineChars="200"/>
        <w:rPr>
          <w:rFonts w:hAnsi="宋体"/>
          <w:sz w:val="24"/>
        </w:rPr>
      </w:pPr>
      <w:r>
        <w:rPr>
          <w:rFonts w:hint="eastAsia" w:hAnsi="宋体"/>
          <w:sz w:val="24"/>
        </w:rPr>
        <w:t>（2）应急指挥部负责组织人员保护现场，组织事故调查取证。</w:t>
      </w:r>
    </w:p>
    <w:p>
      <w:pPr>
        <w:spacing w:line="440" w:lineRule="exact"/>
        <w:ind w:firstLine="480" w:firstLineChars="200"/>
        <w:rPr>
          <w:rFonts w:hAnsi="宋体"/>
          <w:sz w:val="24"/>
        </w:rPr>
      </w:pPr>
      <w:r>
        <w:rPr>
          <w:rFonts w:hint="eastAsia" w:hAnsi="宋体"/>
          <w:sz w:val="24"/>
        </w:rPr>
        <w:t>（3）经应急指挥部决定，通知本企业撤离人员返回各自岗位。</w:t>
      </w:r>
    </w:p>
    <w:p>
      <w:pPr>
        <w:spacing w:line="440" w:lineRule="exact"/>
        <w:ind w:firstLine="480" w:firstLineChars="200"/>
        <w:rPr>
          <w:rFonts w:hAnsi="宋体"/>
          <w:sz w:val="24"/>
        </w:rPr>
      </w:pPr>
      <w:r>
        <w:rPr>
          <w:rFonts w:hint="eastAsia" w:hAnsi="宋体"/>
          <w:sz w:val="24"/>
        </w:rPr>
        <w:t>（4）应急指挥部对应急救援工作进行总结、上报。</w:t>
      </w:r>
    </w:p>
    <w:p>
      <w:pPr>
        <w:spacing w:line="440" w:lineRule="exact"/>
        <w:ind w:firstLine="480" w:firstLineChars="200"/>
        <w:rPr>
          <w:rFonts w:hAnsi="宋体"/>
          <w:sz w:val="24"/>
        </w:rPr>
      </w:pPr>
      <w:r>
        <w:rPr>
          <w:rFonts w:hint="eastAsia" w:hAnsi="宋体"/>
          <w:sz w:val="24"/>
        </w:rPr>
        <w:t>（5）组织好受伤人员的医疗救治以及善后处理工作。</w:t>
      </w:r>
    </w:p>
    <w:p>
      <w:pPr>
        <w:spacing w:line="440" w:lineRule="exact"/>
        <w:ind w:firstLine="480" w:firstLineChars="200"/>
        <w:rPr>
          <w:rFonts w:hAnsi="宋体"/>
          <w:sz w:val="24"/>
        </w:rPr>
      </w:pPr>
      <w:r>
        <w:rPr>
          <w:rFonts w:hint="eastAsia" w:hAnsi="宋体"/>
          <w:sz w:val="24"/>
        </w:rPr>
        <w:t>（6）生产经理根据应急指挥部的指示，指挥落实各工段恢复生产。</w:t>
      </w:r>
    </w:p>
    <w:p>
      <w:pPr>
        <w:spacing w:line="440" w:lineRule="exact"/>
        <w:ind w:firstLine="480" w:firstLineChars="200"/>
        <w:rPr>
          <w:rFonts w:hAnsi="宋体"/>
          <w:sz w:val="24"/>
        </w:rPr>
        <w:sectPr>
          <w:pgSz w:w="11906" w:h="16838"/>
          <w:pgMar w:top="1440" w:right="1800" w:bottom="1440" w:left="1800" w:header="851" w:footer="992" w:gutter="0"/>
          <w:cols w:space="425" w:num="1"/>
          <w:docGrid w:type="lines" w:linePitch="312" w:charSpace="0"/>
        </w:sectPr>
      </w:pPr>
      <w:r>
        <w:rPr>
          <w:rFonts w:hint="eastAsia" w:hAnsi="宋体"/>
          <w:sz w:val="24"/>
        </w:rPr>
        <w:t>当</w:t>
      </w:r>
      <w:r>
        <w:rPr>
          <w:rFonts w:hint="eastAsia"/>
          <w:bCs/>
          <w:sz w:val="24"/>
        </w:rPr>
        <w:t>公司</w:t>
      </w:r>
      <w:r>
        <w:rPr>
          <w:rFonts w:hint="eastAsia" w:hAnsi="宋体"/>
          <w:sz w:val="24"/>
        </w:rPr>
        <w:t>应急指挥部总指挥上报</w:t>
      </w:r>
      <w:r>
        <w:rPr>
          <w:rFonts w:hint="eastAsia" w:hAnsi="宋体"/>
          <w:bCs/>
          <w:color w:val="000000" w:themeColor="text1"/>
          <w:sz w:val="24"/>
          <w14:textFill>
            <w14:solidFill>
              <w14:schemeClr w14:val="tx1"/>
            </w14:solidFill>
          </w14:textFill>
        </w:rPr>
        <w:t>区环境保护局</w:t>
      </w:r>
      <w:r>
        <w:rPr>
          <w:rFonts w:hint="eastAsia" w:hAnsi="宋体"/>
          <w:color w:val="000000" w:themeColor="text1"/>
          <w:sz w:val="24"/>
          <w14:textFill>
            <w14:solidFill>
              <w14:schemeClr w14:val="tx1"/>
            </w14:solidFill>
          </w14:textFill>
        </w:rPr>
        <w:t>和区</w:t>
      </w:r>
      <w:r>
        <w:rPr>
          <w:rFonts w:hint="eastAsia" w:hAnsi="宋体"/>
          <w:sz w:val="24"/>
        </w:rPr>
        <w:t>政府启动政府应急预案时，由县应急指挥部宣布应急终止命令。</w:t>
      </w:r>
    </w:p>
    <w:p>
      <w:pPr>
        <w:outlineLvl w:val="0"/>
        <w:rPr>
          <w:rFonts w:eastAsia="楷体"/>
          <w:b/>
          <w:snapToGrid w:val="0"/>
          <w:spacing w:val="4"/>
          <w:kern w:val="0"/>
          <w:sz w:val="30"/>
          <w:szCs w:val="32"/>
        </w:rPr>
      </w:pPr>
      <w:bookmarkStart w:id="289" w:name="_Toc336595426"/>
      <w:bookmarkStart w:id="290" w:name="_Toc336595905"/>
      <w:bookmarkStart w:id="291" w:name="_Toc336596948"/>
      <w:bookmarkStart w:id="292" w:name="_Toc336595790"/>
      <w:bookmarkStart w:id="293" w:name="_Toc484164014"/>
      <w:bookmarkStart w:id="294" w:name="_Toc10105706"/>
      <w:r>
        <w:rPr>
          <w:rFonts w:hint="eastAsia" w:eastAsia="楷体"/>
          <w:b/>
          <w:snapToGrid w:val="0"/>
          <w:spacing w:val="4"/>
          <w:kern w:val="0"/>
          <w:sz w:val="30"/>
          <w:szCs w:val="32"/>
        </w:rPr>
        <w:t>9</w:t>
      </w:r>
      <w:bookmarkEnd w:id="289"/>
      <w:bookmarkEnd w:id="290"/>
      <w:bookmarkEnd w:id="291"/>
      <w:bookmarkEnd w:id="292"/>
      <w:r>
        <w:rPr>
          <w:rFonts w:eastAsia="楷体"/>
          <w:b/>
          <w:snapToGrid w:val="0"/>
          <w:spacing w:val="4"/>
          <w:kern w:val="0"/>
          <w:sz w:val="30"/>
          <w:szCs w:val="32"/>
        </w:rPr>
        <w:t>信息报告、上报、通报</w:t>
      </w:r>
      <w:bookmarkEnd w:id="293"/>
      <w:bookmarkEnd w:id="294"/>
    </w:p>
    <w:p>
      <w:pPr>
        <w:spacing w:line="440" w:lineRule="exact"/>
        <w:ind w:firstLine="480" w:firstLineChars="200"/>
        <w:rPr>
          <w:rFonts w:hAnsi="宋体"/>
          <w:sz w:val="24"/>
        </w:rPr>
      </w:pPr>
      <w:bookmarkStart w:id="295" w:name="_Toc336595794"/>
      <w:bookmarkStart w:id="296" w:name="_Toc336595909"/>
      <w:bookmarkStart w:id="297" w:name="_Toc336596952"/>
      <w:bookmarkStart w:id="298" w:name="_Toc336595430"/>
      <w:r>
        <w:rPr>
          <w:rFonts w:hint="eastAsia" w:hAnsi="宋体"/>
          <w:color w:val="FF0000"/>
          <w:sz w:val="24"/>
          <w:lang w:eastAsia="zh-CN"/>
        </w:rPr>
        <w:t>中国石化销售股份有限公司江西南昌红谷滩石油分公司世纪星加油站</w:t>
      </w:r>
      <w:r>
        <w:rPr>
          <w:rFonts w:hAnsi="宋体"/>
          <w:sz w:val="24"/>
        </w:rPr>
        <w:t>突发环境事件应急指挥</w:t>
      </w:r>
      <w:r>
        <w:rPr>
          <w:rFonts w:hint="eastAsia" w:hAnsi="宋体"/>
          <w:sz w:val="24"/>
        </w:rPr>
        <w:t>部</w:t>
      </w:r>
      <w:r>
        <w:rPr>
          <w:rFonts w:hAnsi="宋体"/>
          <w:sz w:val="24"/>
        </w:rPr>
        <w:t>根据《突发环境事件信息报告办法》及有关规定的要求，及时报告、上报或通报突发环境事件信息。</w:t>
      </w:r>
    </w:p>
    <w:p>
      <w:pPr>
        <w:spacing w:before="60" w:after="60" w:line="500" w:lineRule="exact"/>
        <w:outlineLvl w:val="1"/>
        <w:rPr>
          <w:rFonts w:eastAsia="黑体"/>
          <w:b/>
          <w:snapToGrid w:val="0"/>
          <w:spacing w:val="4"/>
          <w:kern w:val="0"/>
          <w:sz w:val="28"/>
          <w:szCs w:val="30"/>
        </w:rPr>
      </w:pPr>
      <w:bookmarkStart w:id="299" w:name="_Toc484164015"/>
      <w:bookmarkStart w:id="300" w:name="_Toc10105707"/>
      <w:r>
        <w:rPr>
          <w:rFonts w:hint="eastAsia" w:eastAsia="黑体"/>
          <w:b/>
          <w:snapToGrid w:val="0"/>
          <w:spacing w:val="4"/>
          <w:kern w:val="0"/>
          <w:sz w:val="28"/>
          <w:szCs w:val="30"/>
        </w:rPr>
        <w:t>9</w:t>
      </w:r>
      <w:r>
        <w:rPr>
          <w:rFonts w:eastAsia="黑体"/>
          <w:b/>
          <w:snapToGrid w:val="0"/>
          <w:spacing w:val="4"/>
          <w:kern w:val="0"/>
          <w:sz w:val="28"/>
          <w:szCs w:val="30"/>
        </w:rPr>
        <w:t>.1</w:t>
      </w:r>
      <w:bookmarkEnd w:id="295"/>
      <w:bookmarkEnd w:id="296"/>
      <w:bookmarkEnd w:id="297"/>
      <w:bookmarkEnd w:id="298"/>
      <w:r>
        <w:rPr>
          <w:rFonts w:eastAsia="黑体"/>
          <w:b/>
          <w:snapToGrid w:val="0"/>
          <w:spacing w:val="4"/>
          <w:kern w:val="0"/>
          <w:sz w:val="28"/>
          <w:szCs w:val="30"/>
        </w:rPr>
        <w:t>信息报告</w:t>
      </w:r>
      <w:bookmarkEnd w:id="299"/>
      <w:bookmarkEnd w:id="300"/>
    </w:p>
    <w:p>
      <w:pPr>
        <w:spacing w:line="440" w:lineRule="exact"/>
        <w:ind w:firstLine="480" w:firstLineChars="200"/>
        <w:rPr>
          <w:rFonts w:hAnsi="宋体"/>
          <w:sz w:val="24"/>
        </w:rPr>
      </w:pPr>
      <w:bookmarkStart w:id="301" w:name="_Toc336595432"/>
      <w:bookmarkStart w:id="302" w:name="_Toc336595796"/>
      <w:bookmarkStart w:id="303" w:name="_Toc336595911"/>
      <w:bookmarkStart w:id="304" w:name="_Toc336596954"/>
      <w:bookmarkStart w:id="305" w:name="_Toc359944929"/>
      <w:bookmarkStart w:id="306" w:name="_Toc362335828"/>
      <w:bookmarkStart w:id="307" w:name="_Toc364166798"/>
      <w:bookmarkStart w:id="308" w:name="_Toc396116423"/>
      <w:bookmarkStart w:id="309" w:name="_Toc484164016"/>
      <w:r>
        <w:rPr>
          <w:rFonts w:hint="eastAsia" w:hAnsi="宋体"/>
          <w:sz w:val="24"/>
        </w:rPr>
        <w:t>（1）</w:t>
      </w:r>
      <w:r>
        <w:rPr>
          <w:rFonts w:hAnsi="宋体"/>
          <w:sz w:val="24"/>
        </w:rPr>
        <w:t>企业内任何人一旦发现事件征兆或发生环境事件的情况，应迅速向应急总指挥部报告。</w:t>
      </w:r>
    </w:p>
    <w:p>
      <w:pPr>
        <w:spacing w:line="440" w:lineRule="exact"/>
        <w:ind w:firstLine="480" w:firstLineChars="200"/>
        <w:rPr>
          <w:rFonts w:hAnsi="宋体"/>
          <w:sz w:val="24"/>
        </w:rPr>
      </w:pPr>
      <w:r>
        <w:rPr>
          <w:rFonts w:hint="eastAsia" w:hAnsi="宋体"/>
          <w:sz w:val="24"/>
        </w:rPr>
        <w:t>（2）</w:t>
      </w:r>
      <w:r>
        <w:rPr>
          <w:rFonts w:hAnsi="宋体"/>
          <w:sz w:val="24"/>
        </w:rPr>
        <w:t>当发生突发环境事件后，由事件目击者或本岗位操作者立即将地点、时间、危险场地及范围等情况汇报通知总指挥部值班人员，总指挥部值班人员要当机立断，采取果断措施，控制事故蔓延，同时发出紧急报警信号，迅速把相关情况详细报告应急总指挥。</w:t>
      </w:r>
    </w:p>
    <w:p>
      <w:pPr>
        <w:spacing w:line="440" w:lineRule="exact"/>
        <w:ind w:firstLine="480" w:firstLineChars="200"/>
        <w:rPr>
          <w:rFonts w:hAnsi="宋体"/>
          <w:sz w:val="24"/>
        </w:rPr>
      </w:pPr>
      <w:r>
        <w:rPr>
          <w:rFonts w:hint="eastAsia" w:hAnsi="宋体"/>
          <w:sz w:val="24"/>
        </w:rPr>
        <w:t>（3）</w:t>
      </w:r>
      <w:r>
        <w:rPr>
          <w:rFonts w:hAnsi="宋体"/>
          <w:sz w:val="24"/>
        </w:rPr>
        <w:t>事件发生部门在报警的同时，立即采取有效自救措施，防止事件进一步扩大；如事态失控，立即将人员撤到安全地点。</w:t>
      </w:r>
    </w:p>
    <w:p>
      <w:pPr>
        <w:spacing w:line="440" w:lineRule="exact"/>
        <w:ind w:firstLine="480" w:firstLineChars="200"/>
        <w:rPr>
          <w:rFonts w:hAnsi="宋体"/>
          <w:sz w:val="24"/>
        </w:rPr>
      </w:pPr>
      <w:r>
        <w:rPr>
          <w:rFonts w:hint="eastAsia" w:hAnsi="宋体"/>
          <w:sz w:val="24"/>
        </w:rPr>
        <w:t>（4）</w:t>
      </w:r>
      <w:r>
        <w:rPr>
          <w:rFonts w:hAnsi="宋体"/>
          <w:sz w:val="24"/>
        </w:rPr>
        <w:t>应急救援指挥部接到报警后，立即按事件应急程序展开事故救援，下达应急处置指令，组织应急人员、应急车辆、应急物资，赶赴现场，抢险救护。</w:t>
      </w:r>
    </w:p>
    <w:p>
      <w:pPr>
        <w:spacing w:line="440" w:lineRule="exact"/>
        <w:ind w:firstLine="480" w:firstLineChars="200"/>
        <w:rPr>
          <w:rFonts w:hAnsi="宋体"/>
          <w:sz w:val="24"/>
        </w:rPr>
      </w:pPr>
      <w:r>
        <w:rPr>
          <w:rFonts w:hAnsi="宋体"/>
          <w:sz w:val="24"/>
        </w:rPr>
        <w:t>事件现场发现者→</w:t>
      </w:r>
      <w:r>
        <w:rPr>
          <w:rFonts w:hint="eastAsia" w:hAnsi="宋体"/>
          <w:sz w:val="24"/>
        </w:rPr>
        <w:t>污染处置组组长</w:t>
      </w:r>
      <w:r>
        <w:rPr>
          <w:rFonts w:hAnsi="宋体"/>
          <w:sz w:val="24"/>
        </w:rPr>
        <w:t>→总指挥→应急处置队。</w:t>
      </w:r>
    </w:p>
    <w:p>
      <w:pPr>
        <w:spacing w:line="440" w:lineRule="exact"/>
        <w:ind w:firstLine="480" w:firstLineChars="200"/>
        <w:rPr>
          <w:rFonts w:hAnsi="宋体"/>
          <w:sz w:val="24"/>
        </w:rPr>
      </w:pPr>
      <w:r>
        <w:rPr>
          <w:rFonts w:hAnsi="宋体"/>
          <w:sz w:val="24"/>
        </w:rPr>
        <w:t>报警方式采用现场报警系统或就近报警，一旦发现事故，应立即向应急指挥</w:t>
      </w:r>
      <w:r>
        <w:rPr>
          <w:rFonts w:hint="eastAsia" w:hAnsi="宋体"/>
          <w:sz w:val="24"/>
        </w:rPr>
        <w:t>部</w:t>
      </w:r>
      <w:r>
        <w:rPr>
          <w:rFonts w:hAnsi="宋体"/>
          <w:sz w:val="24"/>
        </w:rPr>
        <w:t>报警，并及时启动企业应急救援工作，展开先期救援抢险，为减少事故损失赢得时间。</w:t>
      </w:r>
    </w:p>
    <w:p>
      <w:pPr>
        <w:spacing w:line="440" w:lineRule="exact"/>
        <w:ind w:firstLine="480" w:firstLineChars="200"/>
        <w:rPr>
          <w:rFonts w:hAnsi="宋体"/>
          <w:sz w:val="24"/>
        </w:rPr>
      </w:pPr>
      <w:r>
        <w:rPr>
          <w:rFonts w:hint="eastAsia" w:hAnsi="宋体"/>
          <w:sz w:val="24"/>
        </w:rPr>
        <w:t>突发环境事件应急指挥部办公室接报后，立即（十分钟内）通知其指挥部成员，成员接报后，立即（十分钟内）出发赶赴事发地现场。</w:t>
      </w:r>
    </w:p>
    <w:p>
      <w:pPr>
        <w:spacing w:before="60" w:after="60" w:line="500" w:lineRule="exact"/>
        <w:outlineLvl w:val="1"/>
        <w:rPr>
          <w:rFonts w:eastAsia="黑体"/>
          <w:b/>
          <w:snapToGrid w:val="0"/>
          <w:spacing w:val="4"/>
          <w:kern w:val="0"/>
          <w:sz w:val="28"/>
          <w:szCs w:val="30"/>
        </w:rPr>
      </w:pPr>
      <w:bookmarkStart w:id="310" w:name="_Toc10105708"/>
      <w:r>
        <w:rPr>
          <w:rFonts w:hint="eastAsia" w:eastAsia="黑体"/>
          <w:b/>
          <w:snapToGrid w:val="0"/>
          <w:spacing w:val="4"/>
          <w:kern w:val="0"/>
          <w:sz w:val="28"/>
          <w:szCs w:val="30"/>
        </w:rPr>
        <w:t>9</w:t>
      </w:r>
      <w:r>
        <w:rPr>
          <w:rFonts w:eastAsia="黑体"/>
          <w:b/>
          <w:snapToGrid w:val="0"/>
          <w:spacing w:val="4"/>
          <w:kern w:val="0"/>
          <w:sz w:val="28"/>
          <w:szCs w:val="30"/>
        </w:rPr>
        <w:t>.2</w:t>
      </w:r>
      <w:bookmarkEnd w:id="301"/>
      <w:bookmarkEnd w:id="302"/>
      <w:bookmarkEnd w:id="303"/>
      <w:bookmarkEnd w:id="304"/>
      <w:bookmarkEnd w:id="305"/>
      <w:bookmarkEnd w:id="306"/>
      <w:bookmarkEnd w:id="307"/>
      <w:bookmarkEnd w:id="308"/>
      <w:r>
        <w:rPr>
          <w:rFonts w:eastAsia="黑体"/>
          <w:b/>
          <w:snapToGrid w:val="0"/>
          <w:spacing w:val="4"/>
          <w:kern w:val="0"/>
          <w:sz w:val="28"/>
          <w:szCs w:val="30"/>
        </w:rPr>
        <w:t>信息上报</w:t>
      </w:r>
      <w:bookmarkEnd w:id="309"/>
      <w:bookmarkEnd w:id="310"/>
    </w:p>
    <w:p>
      <w:pPr>
        <w:spacing w:line="440" w:lineRule="exact"/>
        <w:ind w:firstLine="480" w:firstLineChars="200"/>
        <w:rPr>
          <w:rFonts w:hAnsi="宋体"/>
          <w:color w:val="000000" w:themeColor="text1"/>
          <w:sz w:val="24"/>
          <w14:textFill>
            <w14:solidFill>
              <w14:schemeClr w14:val="tx1"/>
            </w14:solidFill>
          </w14:textFill>
        </w:rPr>
      </w:pPr>
      <w:bookmarkStart w:id="311" w:name="_Toc484164017"/>
      <w:r>
        <w:rPr>
          <w:rFonts w:hint="eastAsia"/>
          <w:bCs/>
          <w:sz w:val="24"/>
        </w:rPr>
        <w:t>公司</w:t>
      </w:r>
      <w:r>
        <w:rPr>
          <w:rFonts w:hAnsi="宋体"/>
          <w:sz w:val="24"/>
        </w:rPr>
        <w:t>突发环境事件应急指挥部办公室接报后</w:t>
      </w:r>
      <w:r>
        <w:rPr>
          <w:rFonts w:hint="eastAsia" w:hAnsi="宋体"/>
          <w:sz w:val="24"/>
        </w:rPr>
        <w:t>立即通知指挥部总指挥/副总指挥和相关应急小组</w:t>
      </w:r>
      <w:r>
        <w:rPr>
          <w:rFonts w:hAnsi="宋体"/>
          <w:sz w:val="24"/>
        </w:rPr>
        <w:t>赶赴事发现场。</w:t>
      </w:r>
      <w:r>
        <w:rPr>
          <w:rFonts w:hint="eastAsia" w:hAnsi="宋体"/>
          <w:sz w:val="24"/>
        </w:rPr>
        <w:t>指挥部总指挥/副总指挥根据现场情况，对于达到上报标准的突发环境事件于半小时内</w:t>
      </w:r>
      <w:r>
        <w:rPr>
          <w:rFonts w:hint="eastAsia" w:hAnsi="宋体"/>
          <w:color w:val="000000" w:themeColor="text1"/>
          <w:sz w:val="24"/>
          <w14:textFill>
            <w14:solidFill>
              <w14:schemeClr w14:val="tx1"/>
            </w14:solidFill>
          </w14:textFill>
        </w:rPr>
        <w:t>上报区政府和</w:t>
      </w:r>
      <w:r>
        <w:rPr>
          <w:rFonts w:hint="eastAsia" w:hAnsi="宋体"/>
          <w:bCs/>
          <w:color w:val="000000" w:themeColor="text1"/>
          <w:sz w:val="24"/>
          <w14:textFill>
            <w14:solidFill>
              <w14:schemeClr w14:val="tx1"/>
            </w14:solidFill>
          </w14:textFill>
        </w:rPr>
        <w:t>区环境保护局</w:t>
      </w:r>
      <w:r>
        <w:rPr>
          <w:rFonts w:hint="eastAsia" w:hAnsi="宋体"/>
          <w:color w:val="000000" w:themeColor="text1"/>
          <w:sz w:val="24"/>
          <w14:textFill>
            <w14:solidFill>
              <w14:schemeClr w14:val="tx1"/>
            </w14:solidFill>
          </w14:textFill>
        </w:rPr>
        <w:t>。</w:t>
      </w:r>
    </w:p>
    <w:p>
      <w:pPr>
        <w:spacing w:before="156" w:beforeLines="50" w:after="156" w:afterLines="50"/>
        <w:jc w:val="center"/>
        <w:rPr>
          <w:rFonts w:hAnsi="宋体"/>
          <w:b/>
        </w:rPr>
      </w:pPr>
    </w:p>
    <w:p>
      <w:pPr>
        <w:spacing w:before="156" w:beforeLines="50" w:after="156" w:afterLines="50"/>
        <w:jc w:val="center"/>
        <w:rPr>
          <w:rFonts w:hAnsi="宋体"/>
          <w:b/>
        </w:rPr>
      </w:pPr>
    </w:p>
    <w:p>
      <w:pPr>
        <w:spacing w:before="156" w:beforeLines="50" w:after="156" w:afterLines="50"/>
        <w:jc w:val="center"/>
        <w:rPr>
          <w:rFonts w:hAnsi="宋体"/>
          <w:b/>
        </w:rPr>
      </w:pPr>
    </w:p>
    <w:p>
      <w:pPr>
        <w:spacing w:before="156" w:beforeLines="50" w:after="156" w:afterLines="50"/>
        <w:jc w:val="center"/>
        <w:rPr>
          <w:rFonts w:hAnsi="宋体"/>
          <w:b/>
        </w:rPr>
      </w:pPr>
    </w:p>
    <w:p>
      <w:pPr>
        <w:spacing w:before="156" w:beforeLines="50" w:after="156" w:afterLines="50"/>
        <w:jc w:val="center"/>
        <w:rPr>
          <w:rFonts w:hAnsi="宋体"/>
          <w:b/>
        </w:rPr>
      </w:pPr>
    </w:p>
    <w:bookmarkEnd w:id="311"/>
    <w:p>
      <w:pPr>
        <w:spacing w:line="440" w:lineRule="exact"/>
        <w:jc w:val="center"/>
        <w:rPr>
          <w:b/>
        </w:rPr>
      </w:pPr>
      <w:bookmarkStart w:id="312" w:name="_Toc484164018"/>
      <w:r>
        <w:rPr>
          <w:rFonts w:hAnsi="宋体"/>
          <w:b/>
        </w:rPr>
        <w:t>表</w:t>
      </w:r>
      <w:r>
        <w:rPr>
          <w:b/>
        </w:rPr>
        <w:t xml:space="preserve">9.3-1  </w:t>
      </w:r>
      <w:r>
        <w:rPr>
          <w:rFonts w:hAnsi="宋体"/>
          <w:b/>
        </w:rPr>
        <w:t>信息通报联络工作分工情况</w:t>
      </w:r>
    </w:p>
    <w:tbl>
      <w:tblPr>
        <w:tblStyle w:val="31"/>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72"/>
        <w:gridCol w:w="1960"/>
        <w:gridCol w:w="1329"/>
        <w:gridCol w:w="1173"/>
        <w:gridCol w:w="1662"/>
        <w:gridCol w:w="132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atLeast"/>
        </w:trPr>
        <w:tc>
          <w:tcPr>
            <w:tcW w:w="1072" w:type="dxa"/>
            <w:vAlign w:val="center"/>
          </w:tcPr>
          <w:p>
            <w:pPr>
              <w:spacing w:line="320" w:lineRule="exact"/>
              <w:jc w:val="center"/>
              <w:rPr>
                <w:szCs w:val="21"/>
              </w:rPr>
            </w:pPr>
            <w:r>
              <w:rPr>
                <w:szCs w:val="21"/>
              </w:rPr>
              <w:t>信息</w:t>
            </w:r>
            <w:r>
              <w:rPr>
                <w:rFonts w:hint="eastAsia"/>
                <w:szCs w:val="21"/>
              </w:rPr>
              <w:t>上报</w:t>
            </w:r>
            <w:r>
              <w:rPr>
                <w:szCs w:val="21"/>
              </w:rPr>
              <w:t>负责人</w:t>
            </w:r>
          </w:p>
        </w:tc>
        <w:tc>
          <w:tcPr>
            <w:tcW w:w="1960" w:type="dxa"/>
            <w:vAlign w:val="center"/>
          </w:tcPr>
          <w:p>
            <w:pPr>
              <w:spacing w:line="320" w:lineRule="exact"/>
              <w:jc w:val="center"/>
              <w:rPr>
                <w:szCs w:val="21"/>
              </w:rPr>
            </w:pPr>
            <w:r>
              <w:rPr>
                <w:szCs w:val="21"/>
              </w:rPr>
              <w:t>信息通报内容</w:t>
            </w:r>
          </w:p>
        </w:tc>
        <w:tc>
          <w:tcPr>
            <w:tcW w:w="1329" w:type="dxa"/>
            <w:vAlign w:val="center"/>
          </w:tcPr>
          <w:p>
            <w:pPr>
              <w:spacing w:line="320" w:lineRule="exact"/>
              <w:jc w:val="center"/>
              <w:rPr>
                <w:szCs w:val="21"/>
              </w:rPr>
            </w:pPr>
            <w:r>
              <w:rPr>
                <w:rFonts w:hint="eastAsia"/>
                <w:szCs w:val="21"/>
              </w:rPr>
              <w:t>单位</w:t>
            </w:r>
          </w:p>
        </w:tc>
        <w:tc>
          <w:tcPr>
            <w:tcW w:w="1173" w:type="dxa"/>
            <w:vAlign w:val="center"/>
          </w:tcPr>
          <w:p>
            <w:pPr>
              <w:spacing w:line="320" w:lineRule="exact"/>
              <w:jc w:val="center"/>
              <w:rPr>
                <w:szCs w:val="21"/>
              </w:rPr>
            </w:pPr>
            <w:r>
              <w:rPr>
                <w:rFonts w:hint="eastAsia"/>
                <w:szCs w:val="21"/>
              </w:rPr>
              <w:t>联系人</w:t>
            </w:r>
          </w:p>
        </w:tc>
        <w:tc>
          <w:tcPr>
            <w:tcW w:w="1662" w:type="dxa"/>
            <w:vAlign w:val="center"/>
          </w:tcPr>
          <w:p>
            <w:pPr>
              <w:spacing w:line="320" w:lineRule="exact"/>
              <w:jc w:val="center"/>
              <w:rPr>
                <w:szCs w:val="21"/>
              </w:rPr>
            </w:pPr>
            <w:r>
              <w:rPr>
                <w:rFonts w:hint="eastAsia"/>
                <w:szCs w:val="21"/>
              </w:rPr>
              <w:t>联系方式</w:t>
            </w:r>
          </w:p>
        </w:tc>
        <w:tc>
          <w:tcPr>
            <w:tcW w:w="1326" w:type="dxa"/>
            <w:vAlign w:val="center"/>
          </w:tcPr>
          <w:p>
            <w:pPr>
              <w:spacing w:line="320" w:lineRule="exact"/>
              <w:jc w:val="center"/>
              <w:rPr>
                <w:szCs w:val="21"/>
              </w:rPr>
            </w:pPr>
            <w:r>
              <w:rPr>
                <w:szCs w:val="21"/>
              </w:rPr>
              <w:t>信息通报</w:t>
            </w:r>
          </w:p>
          <w:p>
            <w:pPr>
              <w:spacing w:line="320" w:lineRule="exact"/>
              <w:jc w:val="center"/>
              <w:rPr>
                <w:szCs w:val="21"/>
              </w:rPr>
            </w:pPr>
            <w:r>
              <w:rPr>
                <w:szCs w:val="21"/>
              </w:rPr>
              <w:t>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027" w:hRule="atLeast"/>
        </w:trPr>
        <w:tc>
          <w:tcPr>
            <w:tcW w:w="1072" w:type="dxa"/>
            <w:vMerge w:val="restart"/>
            <w:vAlign w:val="center"/>
          </w:tcPr>
          <w:p>
            <w:pPr>
              <w:spacing w:line="320" w:lineRule="exact"/>
              <w:jc w:val="center"/>
              <w:rPr>
                <w:szCs w:val="21"/>
              </w:rPr>
            </w:pPr>
            <w:r>
              <w:rPr>
                <w:szCs w:val="21"/>
              </w:rPr>
              <w:t>总指挥</w:t>
            </w:r>
          </w:p>
          <w:p>
            <w:pPr>
              <w:spacing w:line="320" w:lineRule="exact"/>
              <w:jc w:val="center"/>
              <w:rPr>
                <w:szCs w:val="21"/>
              </w:rPr>
            </w:pPr>
          </w:p>
        </w:tc>
        <w:tc>
          <w:tcPr>
            <w:tcW w:w="1960" w:type="dxa"/>
            <w:vMerge w:val="restart"/>
            <w:vAlign w:val="center"/>
          </w:tcPr>
          <w:p>
            <w:pPr>
              <w:spacing w:line="320" w:lineRule="exact"/>
              <w:jc w:val="center"/>
              <w:rPr>
                <w:szCs w:val="21"/>
              </w:rPr>
            </w:pPr>
            <w:r>
              <w:rPr>
                <w:szCs w:val="21"/>
              </w:rPr>
              <w:t>突发环境事件种类，污染物质和浓度，发生时间、地点、范围、隐患程度，参加应急处置有关部门的到位情况，已经采取的措施和下一步的处置方案，需要解决的问题和请求帮助解决的问题等</w:t>
            </w:r>
          </w:p>
        </w:tc>
        <w:tc>
          <w:tcPr>
            <w:tcW w:w="1329" w:type="dxa"/>
            <w:tcBorders>
              <w:bottom w:val="single" w:color="auto" w:sz="4" w:space="0"/>
            </w:tcBorders>
            <w:vAlign w:val="center"/>
          </w:tcPr>
          <w:p>
            <w:pPr>
              <w:spacing w:line="320" w:lineRule="exact"/>
              <w:jc w:val="center"/>
              <w:rPr>
                <w:bCs/>
                <w:color w:val="FF0000"/>
                <w:szCs w:val="21"/>
              </w:rPr>
            </w:pPr>
            <w:r>
              <w:rPr>
                <w:rFonts w:hint="eastAsia" w:hAnsi="宋体"/>
                <w:bCs/>
                <w:color w:val="2E15CB"/>
                <w:spacing w:val="0"/>
                <w:sz w:val="21"/>
                <w:lang w:eastAsia="zh-CN"/>
              </w:rPr>
              <w:t>南昌市环保局红谷滩分局</w:t>
            </w:r>
          </w:p>
        </w:tc>
        <w:tc>
          <w:tcPr>
            <w:tcW w:w="1173" w:type="dxa"/>
            <w:tcBorders>
              <w:bottom w:val="single" w:color="auto" w:sz="4" w:space="0"/>
            </w:tcBorders>
            <w:vAlign w:val="center"/>
          </w:tcPr>
          <w:p>
            <w:pPr>
              <w:spacing w:line="320" w:lineRule="exact"/>
              <w:jc w:val="center"/>
              <w:rPr>
                <w:rFonts w:hAnsi="宋体"/>
                <w:bCs/>
                <w:color w:val="FF0000"/>
                <w:szCs w:val="21"/>
              </w:rPr>
            </w:pPr>
            <w:r>
              <w:rPr>
                <w:rFonts w:hint="eastAsia" w:hAnsi="宋体"/>
                <w:bCs/>
                <w:color w:val="2E15CB"/>
                <w:spacing w:val="0"/>
                <w:sz w:val="21"/>
              </w:rPr>
              <w:t>值班人员</w:t>
            </w:r>
          </w:p>
        </w:tc>
        <w:tc>
          <w:tcPr>
            <w:tcW w:w="1662" w:type="dxa"/>
            <w:tcBorders>
              <w:bottom w:val="single" w:color="auto" w:sz="4" w:space="0"/>
            </w:tcBorders>
            <w:vAlign w:val="center"/>
          </w:tcPr>
          <w:p>
            <w:pPr>
              <w:spacing w:line="320" w:lineRule="exact"/>
              <w:jc w:val="center"/>
              <w:rPr>
                <w:rFonts w:hAnsi="宋体"/>
                <w:color w:val="FF0000"/>
                <w:szCs w:val="21"/>
              </w:rPr>
            </w:pPr>
            <w:r>
              <w:rPr>
                <w:rFonts w:hint="eastAsia" w:hAnsi="宋体"/>
                <w:bCs/>
                <w:color w:val="2E15CB"/>
                <w:spacing w:val="0"/>
                <w:sz w:val="21"/>
              </w:rPr>
              <w:t>0791-86359137</w:t>
            </w:r>
          </w:p>
        </w:tc>
        <w:tc>
          <w:tcPr>
            <w:tcW w:w="1326" w:type="dxa"/>
            <w:vMerge w:val="restart"/>
            <w:vAlign w:val="center"/>
          </w:tcPr>
          <w:p>
            <w:pPr>
              <w:spacing w:line="320" w:lineRule="exact"/>
              <w:jc w:val="center"/>
              <w:rPr>
                <w:szCs w:val="21"/>
              </w:rPr>
            </w:pPr>
            <w:r>
              <w:rPr>
                <w:szCs w:val="21"/>
              </w:rPr>
              <w:t>电话；</w:t>
            </w:r>
            <w:r>
              <w:rPr>
                <w:rFonts w:hint="eastAsia"/>
                <w:szCs w:val="21"/>
              </w:rPr>
              <w:t>面报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126" w:hRule="atLeast"/>
        </w:trPr>
        <w:tc>
          <w:tcPr>
            <w:tcW w:w="1072" w:type="dxa"/>
            <w:vMerge w:val="continue"/>
            <w:vAlign w:val="center"/>
          </w:tcPr>
          <w:p>
            <w:pPr>
              <w:spacing w:line="320" w:lineRule="exact"/>
              <w:jc w:val="center"/>
              <w:rPr>
                <w:szCs w:val="21"/>
              </w:rPr>
            </w:pPr>
          </w:p>
        </w:tc>
        <w:tc>
          <w:tcPr>
            <w:tcW w:w="1960" w:type="dxa"/>
            <w:vMerge w:val="continue"/>
            <w:vAlign w:val="center"/>
          </w:tcPr>
          <w:p>
            <w:pPr>
              <w:spacing w:line="320" w:lineRule="exact"/>
              <w:jc w:val="center"/>
              <w:rPr>
                <w:szCs w:val="21"/>
              </w:rPr>
            </w:pPr>
          </w:p>
        </w:tc>
        <w:tc>
          <w:tcPr>
            <w:tcW w:w="1329" w:type="dxa"/>
            <w:tcBorders>
              <w:top w:val="single" w:color="auto" w:sz="4" w:space="0"/>
            </w:tcBorders>
            <w:vAlign w:val="center"/>
          </w:tcPr>
          <w:p>
            <w:pPr>
              <w:spacing w:line="320" w:lineRule="exact"/>
              <w:jc w:val="center"/>
              <w:rPr>
                <w:rFonts w:hint="eastAsia" w:hAnsi="宋体"/>
                <w:bCs/>
                <w:color w:val="FF0000"/>
                <w:highlight w:val="yellow"/>
              </w:rPr>
            </w:pPr>
            <w:r>
              <w:rPr>
                <w:rFonts w:hint="eastAsia" w:hAnsi="宋体"/>
                <w:bCs/>
                <w:color w:val="2E15CB"/>
                <w:spacing w:val="0"/>
                <w:sz w:val="21"/>
              </w:rPr>
              <w:t>南昌市</w:t>
            </w:r>
            <w:r>
              <w:rPr>
                <w:rFonts w:hint="eastAsia" w:hAnsi="宋体"/>
                <w:bCs/>
                <w:color w:val="2E15CB"/>
                <w:spacing w:val="0"/>
                <w:sz w:val="21"/>
                <w:lang w:eastAsia="zh-CN"/>
              </w:rPr>
              <w:t>红谷滩新区</w:t>
            </w:r>
            <w:r>
              <w:rPr>
                <w:rFonts w:hint="eastAsia" w:hAnsi="宋体"/>
                <w:bCs/>
                <w:color w:val="2E15CB"/>
                <w:spacing w:val="0"/>
                <w:sz w:val="21"/>
              </w:rPr>
              <w:t>人民政府</w:t>
            </w:r>
          </w:p>
        </w:tc>
        <w:tc>
          <w:tcPr>
            <w:tcW w:w="1173" w:type="dxa"/>
            <w:tcBorders>
              <w:top w:val="single" w:color="auto" w:sz="4" w:space="0"/>
            </w:tcBorders>
            <w:vAlign w:val="center"/>
          </w:tcPr>
          <w:p>
            <w:pPr>
              <w:spacing w:line="400" w:lineRule="exact"/>
              <w:jc w:val="center"/>
              <w:rPr>
                <w:rFonts w:hAnsi="宋体"/>
                <w:bCs/>
                <w:color w:val="FF0000"/>
                <w:highlight w:val="yellow"/>
              </w:rPr>
            </w:pPr>
            <w:r>
              <w:rPr>
                <w:color w:val="2E15CB"/>
                <w:sz w:val="21"/>
              </w:rPr>
              <w:t>值班人员</w:t>
            </w:r>
          </w:p>
        </w:tc>
        <w:tc>
          <w:tcPr>
            <w:tcW w:w="1662" w:type="dxa"/>
            <w:tcBorders>
              <w:top w:val="single" w:color="auto" w:sz="4" w:space="0"/>
            </w:tcBorders>
            <w:vAlign w:val="center"/>
          </w:tcPr>
          <w:p>
            <w:pPr>
              <w:spacing w:line="320" w:lineRule="exact"/>
              <w:jc w:val="center"/>
              <w:rPr>
                <w:rFonts w:hAnsi="宋体"/>
                <w:bCs/>
                <w:color w:val="FF0000"/>
              </w:rPr>
            </w:pPr>
            <w:r>
              <w:rPr>
                <w:rFonts w:hint="eastAsia" w:hAnsi="宋体"/>
                <w:bCs/>
                <w:color w:val="2E15CB"/>
                <w:spacing w:val="0"/>
                <w:sz w:val="21"/>
                <w:lang w:val="en-US" w:eastAsia="zh-CN"/>
              </w:rPr>
              <w:t>0791-83839670</w:t>
            </w:r>
          </w:p>
        </w:tc>
        <w:tc>
          <w:tcPr>
            <w:tcW w:w="1326" w:type="dxa"/>
            <w:vMerge w:val="continue"/>
            <w:vAlign w:val="center"/>
          </w:tcPr>
          <w:p>
            <w:pPr>
              <w:spacing w:line="320" w:lineRule="exact"/>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9" w:hRule="atLeast"/>
        </w:trPr>
        <w:tc>
          <w:tcPr>
            <w:tcW w:w="1072" w:type="dxa"/>
            <w:vMerge w:val="continue"/>
            <w:vAlign w:val="center"/>
          </w:tcPr>
          <w:p>
            <w:pPr>
              <w:spacing w:line="320" w:lineRule="exact"/>
              <w:jc w:val="center"/>
              <w:rPr>
                <w:szCs w:val="21"/>
              </w:rPr>
            </w:pPr>
          </w:p>
        </w:tc>
        <w:tc>
          <w:tcPr>
            <w:tcW w:w="1960" w:type="dxa"/>
            <w:vMerge w:val="continue"/>
            <w:vAlign w:val="center"/>
          </w:tcPr>
          <w:p>
            <w:pPr>
              <w:spacing w:line="320" w:lineRule="exact"/>
              <w:jc w:val="center"/>
              <w:rPr>
                <w:szCs w:val="21"/>
              </w:rPr>
            </w:pPr>
          </w:p>
        </w:tc>
        <w:tc>
          <w:tcPr>
            <w:tcW w:w="1329" w:type="dxa"/>
            <w:vAlign w:val="center"/>
          </w:tcPr>
          <w:p>
            <w:pPr>
              <w:widowControl/>
              <w:spacing w:line="320" w:lineRule="exact"/>
              <w:jc w:val="center"/>
              <w:rPr>
                <w:bCs/>
                <w:color w:val="000000"/>
                <w:szCs w:val="21"/>
              </w:rPr>
            </w:pPr>
            <w:r>
              <w:rPr>
                <w:rFonts w:hint="eastAsia"/>
                <w:bCs/>
                <w:color w:val="000000"/>
                <w:szCs w:val="21"/>
              </w:rPr>
              <w:t>消防部门</w:t>
            </w:r>
          </w:p>
        </w:tc>
        <w:tc>
          <w:tcPr>
            <w:tcW w:w="1173" w:type="dxa"/>
            <w:vAlign w:val="center"/>
          </w:tcPr>
          <w:p>
            <w:pPr>
              <w:widowControl/>
              <w:spacing w:line="320" w:lineRule="exact"/>
              <w:jc w:val="center"/>
              <w:rPr>
                <w:bCs/>
                <w:color w:val="000000"/>
                <w:szCs w:val="21"/>
              </w:rPr>
            </w:pPr>
            <w:r>
              <w:rPr>
                <w:rFonts w:hint="eastAsia"/>
                <w:bCs/>
                <w:color w:val="000000"/>
                <w:szCs w:val="21"/>
              </w:rPr>
              <w:t>值班人员</w:t>
            </w:r>
          </w:p>
        </w:tc>
        <w:tc>
          <w:tcPr>
            <w:tcW w:w="1662" w:type="dxa"/>
            <w:vAlign w:val="center"/>
          </w:tcPr>
          <w:p>
            <w:pPr>
              <w:widowControl/>
              <w:spacing w:line="320" w:lineRule="exact"/>
              <w:jc w:val="center"/>
              <w:rPr>
                <w:bCs/>
                <w:color w:val="000000"/>
                <w:szCs w:val="21"/>
              </w:rPr>
            </w:pPr>
            <w:r>
              <w:rPr>
                <w:rFonts w:hint="eastAsia"/>
                <w:bCs/>
                <w:color w:val="000000"/>
                <w:szCs w:val="21"/>
              </w:rPr>
              <w:t>119</w:t>
            </w:r>
          </w:p>
        </w:tc>
        <w:tc>
          <w:tcPr>
            <w:tcW w:w="1326" w:type="dxa"/>
            <w:vMerge w:val="continue"/>
            <w:vAlign w:val="center"/>
          </w:tcPr>
          <w:p>
            <w:pPr>
              <w:spacing w:line="320" w:lineRule="exact"/>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atLeast"/>
        </w:trPr>
        <w:tc>
          <w:tcPr>
            <w:tcW w:w="1072" w:type="dxa"/>
            <w:vMerge w:val="continue"/>
            <w:vAlign w:val="center"/>
          </w:tcPr>
          <w:p>
            <w:pPr>
              <w:spacing w:line="320" w:lineRule="exact"/>
              <w:jc w:val="center"/>
              <w:rPr>
                <w:szCs w:val="21"/>
              </w:rPr>
            </w:pPr>
          </w:p>
        </w:tc>
        <w:tc>
          <w:tcPr>
            <w:tcW w:w="1960" w:type="dxa"/>
            <w:vMerge w:val="continue"/>
            <w:vAlign w:val="center"/>
          </w:tcPr>
          <w:p>
            <w:pPr>
              <w:spacing w:line="320" w:lineRule="exact"/>
              <w:jc w:val="center"/>
              <w:rPr>
                <w:szCs w:val="21"/>
              </w:rPr>
            </w:pPr>
          </w:p>
        </w:tc>
        <w:tc>
          <w:tcPr>
            <w:tcW w:w="1329" w:type="dxa"/>
            <w:vAlign w:val="center"/>
          </w:tcPr>
          <w:p>
            <w:pPr>
              <w:widowControl/>
              <w:spacing w:line="320" w:lineRule="exact"/>
              <w:jc w:val="center"/>
              <w:rPr>
                <w:bCs/>
                <w:color w:val="000000"/>
                <w:szCs w:val="21"/>
              </w:rPr>
            </w:pPr>
            <w:r>
              <w:rPr>
                <w:rFonts w:hint="eastAsia"/>
                <w:bCs/>
                <w:color w:val="000000"/>
                <w:szCs w:val="21"/>
              </w:rPr>
              <w:t>公安部门</w:t>
            </w:r>
          </w:p>
        </w:tc>
        <w:tc>
          <w:tcPr>
            <w:tcW w:w="1173" w:type="dxa"/>
            <w:vAlign w:val="center"/>
          </w:tcPr>
          <w:p>
            <w:pPr>
              <w:widowControl/>
              <w:spacing w:line="320" w:lineRule="exact"/>
              <w:jc w:val="center"/>
              <w:rPr>
                <w:bCs/>
                <w:color w:val="000000"/>
                <w:szCs w:val="21"/>
              </w:rPr>
            </w:pPr>
            <w:r>
              <w:rPr>
                <w:rFonts w:hint="eastAsia"/>
                <w:bCs/>
                <w:color w:val="000000"/>
                <w:szCs w:val="21"/>
              </w:rPr>
              <w:t>值班人员</w:t>
            </w:r>
          </w:p>
        </w:tc>
        <w:tc>
          <w:tcPr>
            <w:tcW w:w="1662" w:type="dxa"/>
            <w:vAlign w:val="center"/>
          </w:tcPr>
          <w:p>
            <w:pPr>
              <w:widowControl/>
              <w:spacing w:line="320" w:lineRule="exact"/>
              <w:jc w:val="center"/>
              <w:rPr>
                <w:bCs/>
                <w:color w:val="000000"/>
                <w:szCs w:val="21"/>
              </w:rPr>
            </w:pPr>
            <w:r>
              <w:rPr>
                <w:rFonts w:hint="eastAsia"/>
                <w:bCs/>
                <w:color w:val="000000"/>
                <w:szCs w:val="21"/>
              </w:rPr>
              <w:t>110</w:t>
            </w:r>
          </w:p>
        </w:tc>
        <w:tc>
          <w:tcPr>
            <w:tcW w:w="1326" w:type="dxa"/>
            <w:vMerge w:val="continue"/>
            <w:vAlign w:val="center"/>
          </w:tcPr>
          <w:p>
            <w:pPr>
              <w:spacing w:line="320" w:lineRule="exact"/>
              <w:jc w:val="center"/>
              <w:rPr>
                <w:szCs w:val="21"/>
              </w:rPr>
            </w:pPr>
          </w:p>
        </w:tc>
      </w:tr>
    </w:tbl>
    <w:p>
      <w:pPr>
        <w:spacing w:line="440" w:lineRule="exact"/>
        <w:rPr>
          <w:color w:val="000000" w:themeColor="text1"/>
          <w14:textFill>
            <w14:solidFill>
              <w14:schemeClr w14:val="tx1"/>
            </w14:solidFill>
          </w14:textFill>
        </w:rPr>
      </w:pPr>
      <w:r>
        <w:rPr>
          <w:rFonts w:hint="eastAsia"/>
        </w:rPr>
        <w:t>注：其他可能涉及的外部单位，公司请求</w:t>
      </w:r>
      <w:r>
        <w:rPr>
          <w:rFonts w:hint="eastAsia"/>
          <w:color w:val="000000" w:themeColor="text1"/>
          <w14:textFill>
            <w14:solidFill>
              <w14:schemeClr w14:val="tx1"/>
            </w14:solidFill>
          </w14:textFill>
        </w:rPr>
        <w:t>区政府/区环境保护局通知。</w:t>
      </w:r>
    </w:p>
    <w:p>
      <w:pPr>
        <w:spacing w:before="60" w:after="60" w:line="500" w:lineRule="exact"/>
        <w:outlineLvl w:val="1"/>
        <w:rPr>
          <w:rFonts w:eastAsia="黑体"/>
          <w:b/>
          <w:snapToGrid w:val="0"/>
          <w:spacing w:val="4"/>
          <w:kern w:val="0"/>
          <w:sz w:val="28"/>
          <w:szCs w:val="30"/>
        </w:rPr>
      </w:pPr>
      <w:bookmarkStart w:id="313" w:name="_Toc10105709"/>
      <w:r>
        <w:rPr>
          <w:rFonts w:hint="eastAsia" w:eastAsia="黑体"/>
          <w:b/>
          <w:snapToGrid w:val="0"/>
          <w:spacing w:val="4"/>
          <w:kern w:val="0"/>
          <w:sz w:val="28"/>
          <w:szCs w:val="30"/>
        </w:rPr>
        <w:t>9</w:t>
      </w:r>
      <w:r>
        <w:rPr>
          <w:rFonts w:eastAsia="黑体"/>
          <w:b/>
          <w:snapToGrid w:val="0"/>
          <w:spacing w:val="4"/>
          <w:kern w:val="0"/>
          <w:sz w:val="28"/>
          <w:szCs w:val="30"/>
        </w:rPr>
        <w:t>.3信息通报</w:t>
      </w:r>
      <w:bookmarkEnd w:id="313"/>
    </w:p>
    <w:p>
      <w:pPr>
        <w:spacing w:line="500" w:lineRule="exact"/>
        <w:ind w:firstLine="480" w:firstLineChars="200"/>
        <w:rPr>
          <w:rFonts w:ascii="宋体" w:hAnsi="宋体"/>
          <w:sz w:val="24"/>
        </w:rPr>
      </w:pPr>
      <w:r>
        <w:rPr>
          <w:rFonts w:ascii="宋体" w:hAnsi="宋体"/>
          <w:sz w:val="24"/>
        </w:rPr>
        <w:t>突发环境事件已经或者可能涉及相邻区域的，企业应急指挥中心应通过手机、座机等联络方式及时向可能受影响的单位及区域进行通报，并组织人员撤离或疏散，随时保持通话联系。</w:t>
      </w:r>
    </w:p>
    <w:p>
      <w:pPr>
        <w:spacing w:line="440" w:lineRule="exact"/>
        <w:ind w:firstLine="480" w:firstLineChars="200"/>
        <w:rPr>
          <w:rFonts w:ascii="宋体" w:hAnsi="宋体"/>
          <w:color w:val="000000" w:themeColor="text1"/>
          <w:sz w:val="24"/>
          <w14:textFill>
            <w14:solidFill>
              <w14:schemeClr w14:val="tx1"/>
            </w14:solidFill>
          </w14:textFill>
        </w:rPr>
      </w:pPr>
      <w:r>
        <w:rPr>
          <w:rFonts w:ascii="宋体" w:hAnsi="宋体"/>
          <w:sz w:val="24"/>
        </w:rPr>
        <w:t>突发环境事件已经或者可能涉及相邻</w:t>
      </w:r>
      <w:r>
        <w:rPr>
          <w:rFonts w:hint="eastAsia" w:ascii="宋体" w:hAnsi="宋体"/>
          <w:sz w:val="24"/>
        </w:rPr>
        <w:t>行政</w:t>
      </w:r>
      <w:r>
        <w:rPr>
          <w:rFonts w:ascii="宋体" w:hAnsi="宋体"/>
          <w:sz w:val="24"/>
        </w:rPr>
        <w:t>区域的，企业应急指挥</w:t>
      </w:r>
      <w:r>
        <w:rPr>
          <w:rFonts w:hint="eastAsia" w:ascii="宋体" w:hAnsi="宋体"/>
          <w:sz w:val="24"/>
        </w:rPr>
        <w:t>部</w:t>
      </w:r>
      <w:r>
        <w:rPr>
          <w:rFonts w:ascii="宋体" w:hAnsi="宋体"/>
          <w:sz w:val="24"/>
        </w:rPr>
        <w:t>通过手机、座机等联络方式及时</w:t>
      </w:r>
      <w:r>
        <w:rPr>
          <w:rFonts w:ascii="宋体" w:hAnsi="宋体"/>
          <w:color w:val="000000" w:themeColor="text1"/>
          <w:sz w:val="24"/>
          <w14:textFill>
            <w14:solidFill>
              <w14:schemeClr w14:val="tx1"/>
            </w14:solidFill>
          </w14:textFill>
        </w:rPr>
        <w:t>向</w:t>
      </w:r>
      <w:r>
        <w:rPr>
          <w:rFonts w:hint="eastAsia" w:ascii="宋体" w:hAnsi="宋体"/>
          <w:color w:val="000000" w:themeColor="text1"/>
          <w:sz w:val="24"/>
          <w14:textFill>
            <w14:solidFill>
              <w14:schemeClr w14:val="tx1"/>
            </w14:solidFill>
          </w14:textFill>
        </w:rPr>
        <w:t>镇（乡）政府进行汇报，由镇（乡）政府负责通知可能涉及区域的村领导班子成员</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由各村领导班子成员</w:t>
      </w:r>
      <w:r>
        <w:rPr>
          <w:rFonts w:ascii="宋体" w:hAnsi="宋体"/>
          <w:color w:val="000000" w:themeColor="text1"/>
          <w:sz w:val="24"/>
          <w14:textFill>
            <w14:solidFill>
              <w14:schemeClr w14:val="tx1"/>
            </w14:solidFill>
          </w14:textFill>
        </w:rPr>
        <w:t>组织人员撤离或疏散，随时保持通话联系。</w:t>
      </w:r>
      <w:r>
        <w:rPr>
          <w:rFonts w:hint="eastAsia" w:ascii="宋体" w:hAnsi="宋体"/>
          <w:color w:val="000000" w:themeColor="text1"/>
          <w:sz w:val="24"/>
          <w14:textFill>
            <w14:solidFill>
              <w14:schemeClr w14:val="tx1"/>
            </w14:solidFill>
          </w14:textFill>
        </w:rPr>
        <w:t>信息通报的职责有应急联络组负责。详见下表：</w:t>
      </w:r>
    </w:p>
    <w:p>
      <w:pPr>
        <w:spacing w:line="440" w:lineRule="exact"/>
        <w:jc w:val="center"/>
        <w:rPr>
          <w:b/>
          <w:color w:val="FF0000"/>
        </w:rPr>
      </w:pPr>
      <w:r>
        <w:rPr>
          <w:rFonts w:hAnsi="宋体"/>
          <w:b/>
          <w:color w:val="FF0000"/>
        </w:rPr>
        <w:t>表</w:t>
      </w:r>
      <w:r>
        <w:rPr>
          <w:b/>
          <w:color w:val="FF0000"/>
        </w:rPr>
        <w:t xml:space="preserve">9.3-1  </w:t>
      </w:r>
      <w:r>
        <w:rPr>
          <w:rFonts w:hAnsi="宋体"/>
          <w:b/>
          <w:color w:val="FF0000"/>
        </w:rPr>
        <w:t>信息通报联络工作分工情况</w:t>
      </w:r>
    </w:p>
    <w:tbl>
      <w:tblPr>
        <w:tblStyle w:val="31"/>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90"/>
        <w:gridCol w:w="1570"/>
        <w:gridCol w:w="1984"/>
        <w:gridCol w:w="1418"/>
        <w:gridCol w:w="1559"/>
        <w:gridCol w:w="9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atLeast"/>
        </w:trPr>
        <w:tc>
          <w:tcPr>
            <w:tcW w:w="1090" w:type="dxa"/>
            <w:vAlign w:val="center"/>
          </w:tcPr>
          <w:p>
            <w:pPr>
              <w:spacing w:line="320" w:lineRule="exact"/>
              <w:jc w:val="center"/>
              <w:rPr>
                <w:szCs w:val="21"/>
              </w:rPr>
            </w:pPr>
            <w:r>
              <w:rPr>
                <w:rFonts w:hAnsi="宋体"/>
                <w:szCs w:val="21"/>
              </w:rPr>
              <w:t>信息通报负责人</w:t>
            </w:r>
          </w:p>
        </w:tc>
        <w:tc>
          <w:tcPr>
            <w:tcW w:w="1570" w:type="dxa"/>
            <w:vAlign w:val="center"/>
          </w:tcPr>
          <w:p>
            <w:pPr>
              <w:spacing w:line="320" w:lineRule="exact"/>
              <w:jc w:val="center"/>
              <w:rPr>
                <w:szCs w:val="21"/>
              </w:rPr>
            </w:pPr>
            <w:r>
              <w:rPr>
                <w:rFonts w:hAnsi="宋体"/>
                <w:szCs w:val="21"/>
              </w:rPr>
              <w:t>信息通报内容</w:t>
            </w:r>
          </w:p>
        </w:tc>
        <w:tc>
          <w:tcPr>
            <w:tcW w:w="1984" w:type="dxa"/>
            <w:vAlign w:val="center"/>
          </w:tcPr>
          <w:p>
            <w:pPr>
              <w:spacing w:line="320" w:lineRule="exact"/>
              <w:jc w:val="center"/>
              <w:rPr>
                <w:szCs w:val="21"/>
              </w:rPr>
            </w:pPr>
            <w:r>
              <w:rPr>
                <w:rFonts w:hAnsi="宋体"/>
                <w:szCs w:val="21"/>
              </w:rPr>
              <w:t>对接人单位</w:t>
            </w:r>
          </w:p>
        </w:tc>
        <w:tc>
          <w:tcPr>
            <w:tcW w:w="1418" w:type="dxa"/>
            <w:vAlign w:val="center"/>
          </w:tcPr>
          <w:p>
            <w:pPr>
              <w:spacing w:line="320" w:lineRule="exact"/>
              <w:jc w:val="center"/>
              <w:rPr>
                <w:szCs w:val="21"/>
              </w:rPr>
            </w:pPr>
            <w:r>
              <w:rPr>
                <w:rFonts w:hAnsi="宋体"/>
                <w:szCs w:val="21"/>
              </w:rPr>
              <w:t>对接人</w:t>
            </w:r>
          </w:p>
        </w:tc>
        <w:tc>
          <w:tcPr>
            <w:tcW w:w="1559" w:type="dxa"/>
            <w:vAlign w:val="center"/>
          </w:tcPr>
          <w:p>
            <w:pPr>
              <w:spacing w:line="320" w:lineRule="exact"/>
              <w:jc w:val="center"/>
              <w:rPr>
                <w:rFonts w:hAnsi="宋体"/>
                <w:szCs w:val="21"/>
              </w:rPr>
            </w:pPr>
            <w:r>
              <w:rPr>
                <w:rFonts w:hAnsi="宋体"/>
                <w:szCs w:val="21"/>
              </w:rPr>
              <w:t>对接人联系</w:t>
            </w:r>
          </w:p>
          <w:p>
            <w:pPr>
              <w:spacing w:line="320" w:lineRule="exact"/>
              <w:jc w:val="center"/>
              <w:rPr>
                <w:szCs w:val="21"/>
              </w:rPr>
            </w:pPr>
            <w:r>
              <w:rPr>
                <w:rFonts w:hAnsi="宋体"/>
                <w:szCs w:val="21"/>
              </w:rPr>
              <w:t>方式</w:t>
            </w:r>
          </w:p>
        </w:tc>
        <w:tc>
          <w:tcPr>
            <w:tcW w:w="901" w:type="dxa"/>
            <w:vAlign w:val="center"/>
          </w:tcPr>
          <w:p>
            <w:pPr>
              <w:spacing w:line="320" w:lineRule="exact"/>
              <w:jc w:val="center"/>
              <w:rPr>
                <w:rFonts w:hAnsi="宋体"/>
                <w:szCs w:val="21"/>
              </w:rPr>
            </w:pPr>
            <w:r>
              <w:rPr>
                <w:rFonts w:hint="eastAsia" w:hAnsi="宋体"/>
                <w:szCs w:val="21"/>
              </w:rPr>
              <w:t>信息通报方式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atLeast"/>
        </w:trPr>
        <w:tc>
          <w:tcPr>
            <w:tcW w:w="1090" w:type="dxa"/>
            <w:vAlign w:val="center"/>
          </w:tcPr>
          <w:p>
            <w:pPr>
              <w:spacing w:line="320" w:lineRule="exact"/>
              <w:jc w:val="center"/>
              <w:rPr>
                <w:szCs w:val="21"/>
              </w:rPr>
            </w:pPr>
            <w:r>
              <w:rPr>
                <w:rFonts w:hAnsi="宋体"/>
                <w:szCs w:val="21"/>
              </w:rPr>
              <w:t>总指挥</w:t>
            </w:r>
          </w:p>
        </w:tc>
        <w:tc>
          <w:tcPr>
            <w:tcW w:w="1570" w:type="dxa"/>
            <w:vAlign w:val="center"/>
          </w:tcPr>
          <w:p>
            <w:pPr>
              <w:spacing w:line="320" w:lineRule="exact"/>
              <w:jc w:val="center"/>
              <w:rPr>
                <w:szCs w:val="21"/>
              </w:rPr>
            </w:pPr>
            <w:r>
              <w:rPr>
                <w:rFonts w:hAnsi="宋体"/>
                <w:szCs w:val="21"/>
              </w:rPr>
              <w:t>事故发生时间、地点、污染物、影响范围；建议采取的防护措施等</w:t>
            </w:r>
          </w:p>
        </w:tc>
        <w:tc>
          <w:tcPr>
            <w:tcW w:w="1984" w:type="dxa"/>
            <w:vAlign w:val="center"/>
          </w:tcPr>
          <w:p>
            <w:pPr>
              <w:spacing w:line="320" w:lineRule="exact"/>
              <w:jc w:val="center"/>
            </w:pPr>
            <w:r>
              <w:rPr>
                <w:rFonts w:hint="eastAsia" w:hAnsi="宋体"/>
                <w:bCs/>
                <w:color w:val="2E15CB"/>
                <w:spacing w:val="0"/>
                <w:sz w:val="21"/>
              </w:rPr>
              <w:t>南昌市</w:t>
            </w:r>
            <w:r>
              <w:rPr>
                <w:rFonts w:hint="eastAsia" w:hAnsi="宋体"/>
                <w:bCs/>
                <w:color w:val="2E15CB"/>
                <w:spacing w:val="0"/>
                <w:sz w:val="21"/>
                <w:lang w:eastAsia="zh-CN"/>
              </w:rPr>
              <w:t>红谷滩新区</w:t>
            </w:r>
            <w:r>
              <w:rPr>
                <w:rFonts w:hint="eastAsia" w:hAnsi="宋体"/>
                <w:bCs/>
                <w:color w:val="2E15CB"/>
                <w:spacing w:val="0"/>
                <w:sz w:val="21"/>
              </w:rPr>
              <w:t>人民政府</w:t>
            </w:r>
          </w:p>
        </w:tc>
        <w:tc>
          <w:tcPr>
            <w:tcW w:w="1418" w:type="dxa"/>
            <w:vAlign w:val="center"/>
          </w:tcPr>
          <w:p>
            <w:pPr>
              <w:spacing w:line="400" w:lineRule="exact"/>
              <w:jc w:val="center"/>
            </w:pPr>
            <w:r>
              <w:rPr>
                <w:color w:val="2E15CB"/>
                <w:sz w:val="21"/>
              </w:rPr>
              <w:t>值班人员</w:t>
            </w:r>
          </w:p>
        </w:tc>
        <w:tc>
          <w:tcPr>
            <w:tcW w:w="1559" w:type="dxa"/>
            <w:vAlign w:val="center"/>
          </w:tcPr>
          <w:p>
            <w:pPr>
              <w:spacing w:line="320" w:lineRule="exact"/>
              <w:jc w:val="center"/>
            </w:pPr>
            <w:r>
              <w:rPr>
                <w:rFonts w:hint="eastAsia" w:hAnsi="宋体"/>
                <w:bCs/>
                <w:color w:val="2E15CB"/>
                <w:spacing w:val="0"/>
                <w:sz w:val="21"/>
                <w:lang w:val="en-US" w:eastAsia="zh-CN"/>
              </w:rPr>
              <w:t>0791-83839670</w:t>
            </w:r>
          </w:p>
        </w:tc>
        <w:tc>
          <w:tcPr>
            <w:tcW w:w="901" w:type="dxa"/>
            <w:vAlign w:val="center"/>
          </w:tcPr>
          <w:p>
            <w:pPr>
              <w:spacing w:line="320" w:lineRule="exact"/>
              <w:jc w:val="center"/>
              <w:rPr>
                <w:szCs w:val="21"/>
              </w:rPr>
            </w:pPr>
            <w:r>
              <w:rPr>
                <w:rFonts w:hint="eastAsia"/>
                <w:szCs w:val="21"/>
              </w:rPr>
              <w:t>电话；喇叭</w:t>
            </w:r>
          </w:p>
        </w:tc>
      </w:tr>
    </w:tbl>
    <w:p>
      <w:pPr>
        <w:spacing w:line="440" w:lineRule="exact"/>
        <w:ind w:firstLine="420"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注：若涉及的信息通报范围较大，请求县政府协同通报。</w:t>
      </w:r>
    </w:p>
    <w:p>
      <w:pPr>
        <w:pStyle w:val="2"/>
        <w:rPr>
          <w:rFonts w:hint="eastAsia"/>
          <w:color w:val="000000" w:themeColor="text1"/>
          <w14:textFill>
            <w14:solidFill>
              <w14:schemeClr w14:val="tx1"/>
            </w14:solidFill>
          </w14:textFill>
        </w:rPr>
      </w:pPr>
    </w:p>
    <w:p>
      <w:pPr>
        <w:pStyle w:val="2"/>
        <w:rPr>
          <w:rFonts w:hint="eastAsia"/>
          <w:color w:val="000000" w:themeColor="text1"/>
          <w14:textFill>
            <w14:solidFill>
              <w14:schemeClr w14:val="tx1"/>
            </w14:solidFill>
          </w14:textFill>
        </w:rPr>
      </w:pPr>
    </w:p>
    <w:p>
      <w:pPr>
        <w:pStyle w:val="2"/>
        <w:rPr>
          <w:rFonts w:hint="eastAsia"/>
          <w:color w:val="000000" w:themeColor="text1"/>
          <w14:textFill>
            <w14:solidFill>
              <w14:schemeClr w14:val="tx1"/>
            </w14:solidFill>
          </w14:textFill>
        </w:rPr>
      </w:pPr>
    </w:p>
    <w:p>
      <w:pPr>
        <w:pStyle w:val="2"/>
        <w:rPr>
          <w:rFonts w:hint="eastAsia"/>
          <w:color w:val="000000" w:themeColor="text1"/>
          <w14:textFill>
            <w14:solidFill>
              <w14:schemeClr w14:val="tx1"/>
            </w14:solidFill>
          </w14:textFill>
        </w:rPr>
      </w:pPr>
    </w:p>
    <w:p>
      <w:pPr>
        <w:pStyle w:val="2"/>
        <w:rPr>
          <w:rFonts w:hint="eastAsia"/>
          <w:color w:val="000000" w:themeColor="text1"/>
          <w14:textFill>
            <w14:solidFill>
              <w14:schemeClr w14:val="tx1"/>
            </w14:solidFill>
          </w14:textFill>
        </w:rPr>
      </w:pPr>
    </w:p>
    <w:p>
      <w:pPr>
        <w:spacing w:before="60" w:after="60" w:line="500" w:lineRule="exact"/>
        <w:outlineLvl w:val="1"/>
        <w:rPr>
          <w:rFonts w:eastAsia="黑体"/>
          <w:b/>
          <w:snapToGrid w:val="0"/>
          <w:spacing w:val="4"/>
          <w:kern w:val="0"/>
          <w:sz w:val="28"/>
          <w:szCs w:val="30"/>
        </w:rPr>
      </w:pPr>
      <w:bookmarkStart w:id="314" w:name="_Toc10105710"/>
      <w:r>
        <w:rPr>
          <w:rFonts w:hint="eastAsia" w:eastAsia="黑体"/>
          <w:b/>
          <w:snapToGrid w:val="0"/>
          <w:spacing w:val="4"/>
          <w:kern w:val="0"/>
          <w:sz w:val="28"/>
          <w:szCs w:val="30"/>
        </w:rPr>
        <w:t>9</w:t>
      </w:r>
      <w:r>
        <w:rPr>
          <w:rFonts w:eastAsia="黑体"/>
          <w:b/>
          <w:snapToGrid w:val="0"/>
          <w:spacing w:val="4"/>
          <w:kern w:val="0"/>
          <w:sz w:val="28"/>
          <w:szCs w:val="30"/>
        </w:rPr>
        <w:t>.4报告内容</w:t>
      </w:r>
      <w:bookmarkEnd w:id="312"/>
      <w:bookmarkEnd w:id="314"/>
    </w:p>
    <w:p>
      <w:pPr>
        <w:spacing w:line="440" w:lineRule="exact"/>
        <w:ind w:firstLine="480" w:firstLineChars="200"/>
        <w:rPr>
          <w:sz w:val="24"/>
        </w:rPr>
      </w:pPr>
      <w:bookmarkStart w:id="315" w:name="_Toc484164019"/>
      <w:r>
        <w:rPr>
          <w:rFonts w:hAnsi="宋体"/>
          <w:sz w:val="24"/>
        </w:rPr>
        <w:t>突发环境事件的报告分为初报、续报和处理结果报告。</w:t>
      </w:r>
    </w:p>
    <w:p>
      <w:pPr>
        <w:spacing w:line="440" w:lineRule="exact"/>
        <w:ind w:firstLine="480" w:firstLineChars="200"/>
        <w:rPr>
          <w:sz w:val="24"/>
        </w:rPr>
      </w:pPr>
      <w:r>
        <w:rPr>
          <w:rFonts w:hAnsi="宋体"/>
          <w:sz w:val="24"/>
        </w:rPr>
        <w:t>初报在发现或者得知突发环境事件后首次上报；续报在查清有关基本情况、事件发展情况后随时上报；处理结果报告在突发环境事件处理完毕后上报。</w:t>
      </w:r>
    </w:p>
    <w:p>
      <w:pPr>
        <w:spacing w:line="440" w:lineRule="exact"/>
        <w:ind w:firstLine="480" w:firstLineChars="200"/>
        <w:rPr>
          <w:sz w:val="24"/>
        </w:rPr>
      </w:pPr>
      <w:r>
        <w:rPr>
          <w:rFonts w:hAnsi="宋体"/>
          <w:sz w:val="24"/>
        </w:rPr>
        <w:t>初报应当报告突发环境事件的发生时间、地点、信息来源、事件起因和性质、基本过程、主要污染物和数量、监测数据、人员受害情况、事件发展趋势、处置情况、拟采取的措施以及下一步工作建议等初步情况，并提供可能受到突发环境事件影响的环境敏感点的分布示意图。</w:t>
      </w:r>
    </w:p>
    <w:p>
      <w:pPr>
        <w:spacing w:line="440" w:lineRule="exact"/>
        <w:ind w:firstLine="480" w:firstLineChars="200"/>
        <w:rPr>
          <w:sz w:val="24"/>
        </w:rPr>
      </w:pPr>
      <w:r>
        <w:rPr>
          <w:rFonts w:hAnsi="宋体"/>
          <w:sz w:val="24"/>
        </w:rPr>
        <w:t>续报应当在初报的基础上，报告有关处置进展情况。</w:t>
      </w:r>
    </w:p>
    <w:p>
      <w:pPr>
        <w:spacing w:line="440" w:lineRule="exact"/>
        <w:ind w:firstLine="480" w:firstLineChars="200"/>
        <w:rPr>
          <w:sz w:val="24"/>
        </w:rPr>
      </w:pPr>
      <w:r>
        <w:rPr>
          <w:rFonts w:hAnsi="宋体"/>
          <w:sz w:val="24"/>
        </w:rPr>
        <w:t>处理结果报告应当在初报和续报的基础上，报告处理突发环境事件的措施、过程和结果，突发环境事件潜在或者间接危害以及损失、社会影响、处理后的遗留问题、责任追究等详细情况。</w:t>
      </w:r>
    </w:p>
    <w:p>
      <w:pPr>
        <w:spacing w:line="440" w:lineRule="exact"/>
        <w:ind w:firstLine="480" w:firstLineChars="200"/>
        <w:rPr>
          <w:sz w:val="24"/>
        </w:rPr>
      </w:pPr>
      <w:r>
        <w:rPr>
          <w:rFonts w:hAnsi="宋体"/>
          <w:sz w:val="24"/>
        </w:rPr>
        <w:t>突发环境事件信息应当采用传真、网络、邮寄和面呈等方式书面报告；情况紧急时，初报可通过电话报告，但应当及时补充书面报告。</w:t>
      </w:r>
    </w:p>
    <w:p>
      <w:pPr>
        <w:spacing w:line="440" w:lineRule="exact"/>
        <w:ind w:firstLine="480" w:firstLineChars="200"/>
        <w:rPr>
          <w:rFonts w:hAnsi="宋体"/>
          <w:sz w:val="24"/>
        </w:rPr>
      </w:pPr>
      <w:r>
        <w:rPr>
          <w:rFonts w:hAnsi="宋体"/>
          <w:sz w:val="24"/>
        </w:rPr>
        <w:t>书面报告中应当载明突发环境事件报告单位、报告签发人、联系人及联系方式等内容，并尽可能提供地图、图片以及相关的多媒体资料。</w:t>
      </w:r>
    </w:p>
    <w:p>
      <w:pPr>
        <w:pStyle w:val="45"/>
        <w:spacing w:line="500" w:lineRule="exact"/>
        <w:ind w:firstLine="0" w:firstLineChars="0"/>
        <w:outlineLvl w:val="0"/>
        <w:rPr>
          <w:rFonts w:ascii="Times New Roman" w:hAnsi="Times New Roman" w:cs="Times New Roman"/>
          <w:b/>
          <w:sz w:val="32"/>
          <w:szCs w:val="32"/>
        </w:rPr>
        <w:sectPr>
          <w:pgSz w:w="11906" w:h="16838"/>
          <w:pgMar w:top="1440" w:right="1800" w:bottom="1440" w:left="1800" w:header="851" w:footer="992" w:gutter="0"/>
          <w:cols w:space="425" w:num="1"/>
          <w:docGrid w:type="lines" w:linePitch="312" w:charSpace="0"/>
        </w:sectPr>
      </w:pPr>
    </w:p>
    <w:p>
      <w:pPr>
        <w:outlineLvl w:val="0"/>
        <w:rPr>
          <w:rFonts w:eastAsia="楷体"/>
          <w:b/>
          <w:snapToGrid w:val="0"/>
          <w:spacing w:val="4"/>
          <w:kern w:val="0"/>
          <w:sz w:val="30"/>
          <w:szCs w:val="32"/>
        </w:rPr>
      </w:pPr>
      <w:bookmarkStart w:id="316" w:name="_Toc10105711"/>
      <w:r>
        <w:rPr>
          <w:rFonts w:hint="eastAsia" w:eastAsia="楷体"/>
          <w:b/>
          <w:snapToGrid w:val="0"/>
          <w:spacing w:val="4"/>
          <w:kern w:val="0"/>
          <w:sz w:val="30"/>
          <w:szCs w:val="32"/>
        </w:rPr>
        <w:t>10</w:t>
      </w:r>
      <w:r>
        <w:rPr>
          <w:rFonts w:eastAsia="楷体"/>
          <w:b/>
          <w:snapToGrid w:val="0"/>
          <w:spacing w:val="4"/>
          <w:kern w:val="0"/>
          <w:sz w:val="30"/>
          <w:szCs w:val="32"/>
        </w:rPr>
        <w:t>后期处置</w:t>
      </w:r>
      <w:bookmarkEnd w:id="315"/>
      <w:bookmarkEnd w:id="316"/>
    </w:p>
    <w:p>
      <w:pPr>
        <w:spacing w:before="60" w:after="60" w:line="480" w:lineRule="exact"/>
        <w:outlineLvl w:val="1"/>
        <w:rPr>
          <w:rFonts w:eastAsia="黑体"/>
          <w:b/>
          <w:snapToGrid w:val="0"/>
          <w:spacing w:val="4"/>
          <w:kern w:val="0"/>
          <w:sz w:val="28"/>
          <w:szCs w:val="30"/>
        </w:rPr>
      </w:pPr>
      <w:bookmarkStart w:id="317" w:name="_Toc10105712"/>
      <w:bookmarkStart w:id="318" w:name="_Toc500401598"/>
      <w:bookmarkStart w:id="319" w:name="_Toc484164020"/>
      <w:bookmarkStart w:id="320" w:name="_Toc390942517"/>
      <w:bookmarkStart w:id="321" w:name="_Toc382205856"/>
      <w:bookmarkStart w:id="322" w:name="_Toc341455397"/>
      <w:bookmarkStart w:id="323" w:name="_Toc332268446"/>
      <w:bookmarkStart w:id="324" w:name="_Toc320887124"/>
      <w:bookmarkStart w:id="325" w:name="_Toc318105442"/>
      <w:r>
        <w:rPr>
          <w:rFonts w:hint="eastAsia" w:eastAsia="黑体"/>
          <w:b/>
          <w:snapToGrid w:val="0"/>
          <w:spacing w:val="4"/>
          <w:kern w:val="0"/>
          <w:sz w:val="28"/>
          <w:szCs w:val="30"/>
        </w:rPr>
        <w:t>10</w:t>
      </w:r>
      <w:r>
        <w:rPr>
          <w:rFonts w:eastAsia="黑体"/>
          <w:b/>
          <w:snapToGrid w:val="0"/>
          <w:spacing w:val="4"/>
          <w:kern w:val="0"/>
          <w:sz w:val="28"/>
          <w:szCs w:val="30"/>
        </w:rPr>
        <w:t>.1 现场恢复</w:t>
      </w:r>
      <w:bookmarkEnd w:id="317"/>
      <w:bookmarkEnd w:id="318"/>
      <w:bookmarkEnd w:id="319"/>
      <w:bookmarkEnd w:id="320"/>
      <w:bookmarkEnd w:id="321"/>
      <w:bookmarkEnd w:id="322"/>
      <w:bookmarkEnd w:id="323"/>
      <w:bookmarkEnd w:id="324"/>
      <w:bookmarkEnd w:id="325"/>
    </w:p>
    <w:p>
      <w:pPr>
        <w:spacing w:line="480" w:lineRule="exact"/>
        <w:ind w:firstLine="480" w:firstLineChars="200"/>
        <w:rPr>
          <w:sz w:val="24"/>
        </w:rPr>
      </w:pPr>
      <w:r>
        <w:rPr>
          <w:rFonts w:hAnsi="宋体"/>
          <w:sz w:val="24"/>
        </w:rPr>
        <w:t>明确现场清洁净化、污染控制和环境恢复工作需要的设备工具和物资，事故后对现场中暴露的工作人员、应急行动人员清除污染的清洁净化的方法和程序，以及在应急终止后，对受污染现场进行恢复的方法和程序。</w:t>
      </w:r>
    </w:p>
    <w:p>
      <w:pPr>
        <w:spacing w:line="480" w:lineRule="exact"/>
        <w:outlineLvl w:val="2"/>
        <w:rPr>
          <w:rFonts w:eastAsia="黑体"/>
          <w:b/>
          <w:snapToGrid w:val="0"/>
          <w:spacing w:val="4"/>
          <w:kern w:val="0"/>
          <w:sz w:val="24"/>
          <w:szCs w:val="28"/>
        </w:rPr>
      </w:pPr>
      <w:bookmarkStart w:id="326" w:name="_Toc509302747"/>
      <w:bookmarkStart w:id="327" w:name="_Toc500487324"/>
      <w:bookmarkStart w:id="328" w:name="_Toc500401599"/>
      <w:bookmarkStart w:id="329" w:name="_Toc524953723"/>
      <w:bookmarkStart w:id="330" w:name="_Toc10105713"/>
      <w:bookmarkStart w:id="331" w:name="_Toc470161967"/>
      <w:bookmarkStart w:id="332" w:name="_Toc469746232"/>
      <w:bookmarkStart w:id="333" w:name="_Toc428802640"/>
      <w:bookmarkStart w:id="334" w:name="_Toc484164021"/>
      <w:bookmarkStart w:id="335" w:name="_Toc497226246"/>
      <w:bookmarkStart w:id="336" w:name="_Toc428190650"/>
      <w:bookmarkStart w:id="337" w:name="_Toc398113415"/>
      <w:bookmarkStart w:id="338" w:name="_Toc396725971"/>
      <w:bookmarkStart w:id="339" w:name="_Toc428408866"/>
      <w:bookmarkStart w:id="340" w:name="_Toc428795939"/>
      <w:bookmarkStart w:id="341" w:name="_Toc320887125"/>
      <w:bookmarkStart w:id="342" w:name="_Toc318105443"/>
      <w:r>
        <w:rPr>
          <w:rFonts w:hint="eastAsia" w:eastAsia="黑体"/>
          <w:b/>
          <w:snapToGrid w:val="0"/>
          <w:spacing w:val="4"/>
          <w:kern w:val="0"/>
          <w:sz w:val="24"/>
          <w:szCs w:val="28"/>
        </w:rPr>
        <w:t>10</w:t>
      </w:r>
      <w:r>
        <w:rPr>
          <w:rFonts w:eastAsia="黑体"/>
          <w:b/>
          <w:snapToGrid w:val="0"/>
          <w:spacing w:val="4"/>
          <w:kern w:val="0"/>
          <w:sz w:val="24"/>
          <w:szCs w:val="28"/>
        </w:rPr>
        <w:t>.1.1事故现场的保护措施</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pPr>
        <w:spacing w:line="480" w:lineRule="exact"/>
        <w:ind w:firstLine="480" w:firstLineChars="200"/>
        <w:rPr>
          <w:rFonts w:hAnsi="宋体"/>
          <w:sz w:val="24"/>
        </w:rPr>
      </w:pPr>
      <w:r>
        <w:rPr>
          <w:rFonts w:hAnsi="宋体"/>
          <w:sz w:val="24"/>
        </w:rPr>
        <w:t>事故得到控制后，</w:t>
      </w:r>
      <w:r>
        <w:rPr>
          <w:rFonts w:hint="eastAsia" w:hAnsi="宋体"/>
          <w:sz w:val="24"/>
        </w:rPr>
        <w:t>污染处置组</w:t>
      </w:r>
      <w:r>
        <w:rPr>
          <w:rFonts w:hAnsi="宋体"/>
          <w:sz w:val="24"/>
        </w:rPr>
        <w:t>要保护好事故现场，以便对事故进行调查。因应急抢救人员、疏导交通等原因，需要移动现场物件时，应当做出标记，绘制现场简图并做出书面纪录，妥善保存现场重要痕迹、物证，并应采取拍照或录像等直接方式反映现场原状。</w:t>
      </w:r>
    </w:p>
    <w:p>
      <w:pPr>
        <w:spacing w:line="480" w:lineRule="exact"/>
        <w:ind w:firstLine="480" w:firstLineChars="200"/>
        <w:rPr>
          <w:rFonts w:hAnsi="宋体"/>
          <w:sz w:val="24"/>
        </w:rPr>
      </w:pPr>
      <w:r>
        <w:rPr>
          <w:rFonts w:hAnsi="宋体"/>
          <w:sz w:val="24"/>
        </w:rPr>
        <w:t>（1）设定保护区、控制人员对可疑人员进行排查。</w:t>
      </w:r>
    </w:p>
    <w:p>
      <w:pPr>
        <w:spacing w:line="480" w:lineRule="exact"/>
        <w:ind w:firstLine="480" w:firstLineChars="200"/>
        <w:rPr>
          <w:rFonts w:hAnsi="宋体"/>
          <w:sz w:val="24"/>
        </w:rPr>
      </w:pPr>
      <w:r>
        <w:rPr>
          <w:rFonts w:hAnsi="宋体"/>
          <w:sz w:val="24"/>
        </w:rPr>
        <w:t>（2）签订现场保护责任制，按照谁分管谁负责，层层把关，层层负责。</w:t>
      </w:r>
    </w:p>
    <w:p>
      <w:pPr>
        <w:spacing w:line="480" w:lineRule="exact"/>
        <w:ind w:firstLine="480" w:firstLineChars="200"/>
        <w:rPr>
          <w:rFonts w:hAnsi="宋体"/>
          <w:sz w:val="24"/>
        </w:rPr>
      </w:pPr>
      <w:r>
        <w:rPr>
          <w:rFonts w:hAnsi="宋体"/>
          <w:sz w:val="24"/>
        </w:rPr>
        <w:t>（3）安排专门的人员值班，不允许任何不相干的人员到警戒区内，防止破坏现场。</w:t>
      </w:r>
    </w:p>
    <w:p>
      <w:pPr>
        <w:spacing w:line="480" w:lineRule="exact"/>
        <w:ind w:firstLine="480" w:firstLineChars="200"/>
        <w:rPr>
          <w:rFonts w:hAnsi="宋体"/>
          <w:sz w:val="24"/>
        </w:rPr>
      </w:pPr>
      <w:r>
        <w:rPr>
          <w:rFonts w:hAnsi="宋体"/>
          <w:sz w:val="24"/>
        </w:rPr>
        <w:t>（4）严格控制车辆出入，并要做好相应的记录。</w:t>
      </w:r>
    </w:p>
    <w:p>
      <w:pPr>
        <w:spacing w:line="480" w:lineRule="exact"/>
        <w:ind w:firstLine="480" w:firstLineChars="200"/>
        <w:rPr>
          <w:rFonts w:hAnsi="宋体"/>
          <w:sz w:val="24"/>
        </w:rPr>
      </w:pPr>
      <w:r>
        <w:rPr>
          <w:rFonts w:hAnsi="宋体"/>
          <w:sz w:val="24"/>
        </w:rPr>
        <w:t>（5）对现场上岗人员进行清点，抢险及救援人员进行登记。</w:t>
      </w:r>
    </w:p>
    <w:p>
      <w:pPr>
        <w:spacing w:line="480" w:lineRule="exact"/>
        <w:ind w:firstLine="480" w:firstLineChars="200"/>
        <w:rPr>
          <w:rFonts w:hAnsi="宋体"/>
          <w:sz w:val="24"/>
        </w:rPr>
      </w:pPr>
      <w:r>
        <w:rPr>
          <w:rFonts w:hAnsi="宋体"/>
          <w:sz w:val="24"/>
        </w:rPr>
        <w:t>（6）各种记录要清楚、准确。</w:t>
      </w:r>
    </w:p>
    <w:p>
      <w:pPr>
        <w:spacing w:line="480" w:lineRule="exact"/>
        <w:ind w:firstLine="480" w:firstLineChars="200"/>
        <w:rPr>
          <w:rFonts w:hAnsi="宋体"/>
          <w:sz w:val="24"/>
        </w:rPr>
      </w:pPr>
      <w:r>
        <w:rPr>
          <w:rFonts w:hAnsi="宋体"/>
          <w:sz w:val="24"/>
        </w:rPr>
        <w:t>（7）值班保卫人员要坚守岗位，做好交换记录。</w:t>
      </w:r>
    </w:p>
    <w:p>
      <w:pPr>
        <w:spacing w:line="480" w:lineRule="exact"/>
        <w:outlineLvl w:val="2"/>
        <w:rPr>
          <w:rFonts w:eastAsia="黑体"/>
          <w:b/>
          <w:snapToGrid w:val="0"/>
          <w:spacing w:val="4"/>
          <w:kern w:val="0"/>
          <w:sz w:val="24"/>
          <w:szCs w:val="28"/>
        </w:rPr>
      </w:pPr>
      <w:bookmarkStart w:id="343" w:name="_Toc509302748"/>
      <w:bookmarkStart w:id="344" w:name="_Toc500487325"/>
      <w:bookmarkStart w:id="345" w:name="_Toc500401600"/>
      <w:bookmarkStart w:id="346" w:name="_Toc524953724"/>
      <w:bookmarkStart w:id="347" w:name="_Toc10105714"/>
      <w:bookmarkStart w:id="348" w:name="_Toc470161968"/>
      <w:bookmarkStart w:id="349" w:name="_Toc469746233"/>
      <w:bookmarkStart w:id="350" w:name="_Toc428802641"/>
      <w:bookmarkStart w:id="351" w:name="_Toc484164022"/>
      <w:bookmarkStart w:id="352" w:name="_Toc497226247"/>
      <w:bookmarkStart w:id="353" w:name="_Toc428190651"/>
      <w:bookmarkStart w:id="354" w:name="_Toc398113416"/>
      <w:bookmarkStart w:id="355" w:name="_Toc396725972"/>
      <w:bookmarkStart w:id="356" w:name="_Toc428408867"/>
      <w:bookmarkStart w:id="357" w:name="_Toc428795940"/>
      <w:bookmarkStart w:id="358" w:name="_Toc318105444"/>
      <w:bookmarkStart w:id="359" w:name="_Toc320887126"/>
      <w:r>
        <w:rPr>
          <w:rFonts w:hint="eastAsia" w:eastAsia="黑体"/>
          <w:b/>
          <w:snapToGrid w:val="0"/>
          <w:spacing w:val="4"/>
          <w:kern w:val="0"/>
          <w:sz w:val="24"/>
          <w:szCs w:val="28"/>
        </w:rPr>
        <w:t>10</w:t>
      </w:r>
      <w:r>
        <w:rPr>
          <w:rFonts w:eastAsia="黑体"/>
          <w:b/>
          <w:snapToGrid w:val="0"/>
          <w:spacing w:val="4"/>
          <w:kern w:val="0"/>
          <w:sz w:val="24"/>
          <w:szCs w:val="28"/>
        </w:rPr>
        <w:t>.1.2确定现场净化方式、方法</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pPr>
        <w:spacing w:line="480" w:lineRule="exact"/>
        <w:ind w:firstLine="480" w:firstLineChars="200"/>
        <w:rPr>
          <w:rFonts w:hAnsi="宋体"/>
          <w:sz w:val="24"/>
        </w:rPr>
      </w:pPr>
      <w:r>
        <w:rPr>
          <w:rFonts w:hint="eastAsia" w:hAnsi="宋体"/>
          <w:sz w:val="24"/>
        </w:rPr>
        <w:t>污染处置组</w:t>
      </w:r>
      <w:r>
        <w:rPr>
          <w:rFonts w:hAnsi="宋体"/>
          <w:sz w:val="24"/>
        </w:rPr>
        <w:t>对现场人员进行洗消，并对事故现场进行洗消。</w:t>
      </w:r>
    </w:p>
    <w:p>
      <w:pPr>
        <w:spacing w:line="480" w:lineRule="exact"/>
        <w:outlineLvl w:val="2"/>
        <w:rPr>
          <w:rFonts w:eastAsia="黑体"/>
          <w:b/>
          <w:snapToGrid w:val="0"/>
          <w:spacing w:val="4"/>
          <w:kern w:val="0"/>
          <w:sz w:val="24"/>
          <w:szCs w:val="28"/>
        </w:rPr>
      </w:pPr>
      <w:bookmarkStart w:id="360" w:name="_Toc10105715"/>
      <w:bookmarkStart w:id="361" w:name="_Toc524953725"/>
      <w:bookmarkStart w:id="362" w:name="_Toc470161969"/>
      <w:bookmarkStart w:id="363" w:name="_Toc469746234"/>
      <w:bookmarkStart w:id="364" w:name="_Toc428802642"/>
      <w:bookmarkStart w:id="365" w:name="_Toc484164023"/>
      <w:bookmarkStart w:id="366" w:name="_Toc497226248"/>
      <w:bookmarkStart w:id="367" w:name="_Toc428190652"/>
      <w:bookmarkStart w:id="368" w:name="_Toc398113417"/>
      <w:bookmarkStart w:id="369" w:name="_Toc396725973"/>
      <w:bookmarkStart w:id="370" w:name="_Toc428408868"/>
      <w:bookmarkStart w:id="371" w:name="_Toc428795941"/>
      <w:bookmarkStart w:id="372" w:name="_Toc509302749"/>
      <w:bookmarkStart w:id="373" w:name="_Toc500487326"/>
      <w:bookmarkStart w:id="374" w:name="_Toc500401601"/>
      <w:bookmarkStart w:id="375" w:name="_Toc318105445"/>
      <w:bookmarkStart w:id="376" w:name="_Toc320887127"/>
      <w:r>
        <w:rPr>
          <w:rFonts w:hint="eastAsia" w:eastAsia="黑体"/>
          <w:b/>
          <w:snapToGrid w:val="0"/>
          <w:spacing w:val="4"/>
          <w:kern w:val="0"/>
          <w:sz w:val="24"/>
          <w:szCs w:val="28"/>
        </w:rPr>
        <w:t>10</w:t>
      </w:r>
      <w:r>
        <w:rPr>
          <w:rFonts w:eastAsia="黑体"/>
          <w:b/>
          <w:snapToGrid w:val="0"/>
          <w:spacing w:val="4"/>
          <w:kern w:val="0"/>
          <w:sz w:val="24"/>
          <w:szCs w:val="28"/>
        </w:rPr>
        <w:t>.1.3明确事故现场洗消工作的负责人和专业队伍</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pPr>
        <w:spacing w:line="480" w:lineRule="exact"/>
        <w:ind w:firstLine="480" w:firstLineChars="200"/>
        <w:rPr>
          <w:rFonts w:hAnsi="宋体"/>
          <w:sz w:val="24"/>
        </w:rPr>
      </w:pPr>
      <w:bookmarkStart w:id="377" w:name="_Toc311883822"/>
      <w:bookmarkStart w:id="378" w:name="_Toc318105446"/>
      <w:bookmarkStart w:id="379" w:name="_Toc5819"/>
      <w:bookmarkStart w:id="380" w:name="_Toc320887128"/>
      <w:bookmarkStart w:id="381" w:name="_Toc261362389"/>
      <w:r>
        <w:rPr>
          <w:rFonts w:hint="eastAsia" w:hAnsi="宋体"/>
          <w:sz w:val="24"/>
        </w:rPr>
        <w:t>（1）</w:t>
      </w:r>
      <w:r>
        <w:rPr>
          <w:rFonts w:hAnsi="宋体"/>
          <w:sz w:val="24"/>
        </w:rPr>
        <w:t>现场洗消工作的负责人</w:t>
      </w:r>
      <w:bookmarkEnd w:id="377"/>
      <w:bookmarkEnd w:id="378"/>
      <w:bookmarkEnd w:id="379"/>
      <w:bookmarkEnd w:id="380"/>
      <w:bookmarkEnd w:id="381"/>
    </w:p>
    <w:p>
      <w:pPr>
        <w:spacing w:line="480" w:lineRule="exact"/>
        <w:ind w:firstLine="480" w:firstLineChars="200"/>
        <w:rPr>
          <w:rFonts w:hAnsi="宋体"/>
          <w:sz w:val="24"/>
        </w:rPr>
      </w:pPr>
      <w:r>
        <w:rPr>
          <w:rFonts w:hAnsi="宋体"/>
          <w:sz w:val="24"/>
        </w:rPr>
        <w:t>事故现场洗消工作由</w:t>
      </w:r>
      <w:r>
        <w:rPr>
          <w:rFonts w:hint="eastAsia" w:hAnsi="宋体"/>
          <w:sz w:val="24"/>
        </w:rPr>
        <w:t>污染处置组</w:t>
      </w:r>
      <w:r>
        <w:rPr>
          <w:rFonts w:hAnsi="宋体"/>
          <w:sz w:val="24"/>
        </w:rPr>
        <w:t>负责。</w:t>
      </w:r>
    </w:p>
    <w:p>
      <w:pPr>
        <w:spacing w:line="480" w:lineRule="exact"/>
        <w:ind w:firstLine="480" w:firstLineChars="200"/>
        <w:rPr>
          <w:rFonts w:hAnsi="宋体"/>
          <w:sz w:val="24"/>
        </w:rPr>
      </w:pPr>
      <w:r>
        <w:rPr>
          <w:rFonts w:hAnsi="宋体"/>
          <w:sz w:val="24"/>
        </w:rPr>
        <w:t>负责消除危害后果，</w:t>
      </w:r>
      <w:r>
        <w:rPr>
          <w:rFonts w:hint="eastAsia" w:hAnsi="宋体"/>
          <w:sz w:val="24"/>
        </w:rPr>
        <w:t>如涉及土壤污染，</w:t>
      </w:r>
      <w:r>
        <w:rPr>
          <w:rFonts w:hAnsi="宋体"/>
          <w:sz w:val="24"/>
        </w:rPr>
        <w:t>聘请县专业洗消队伍针对事故对土壤造成的现实危害和可能发生的危害，迅速采取封闭、隔离、洗消等措施，防止对人的继续危害和对环境的污染。</w:t>
      </w:r>
    </w:p>
    <w:p>
      <w:pPr>
        <w:spacing w:line="480" w:lineRule="exact"/>
        <w:ind w:firstLine="480" w:firstLineChars="200"/>
        <w:rPr>
          <w:rFonts w:hAnsi="宋体"/>
          <w:sz w:val="24"/>
        </w:rPr>
      </w:pPr>
      <w:bookmarkStart w:id="382" w:name="_Toc320887129"/>
      <w:bookmarkStart w:id="383" w:name="_Toc1849"/>
      <w:bookmarkStart w:id="384" w:name="_Toc261362390"/>
      <w:bookmarkStart w:id="385" w:name="_Toc318105447"/>
      <w:bookmarkStart w:id="386" w:name="_Toc311883823"/>
      <w:r>
        <w:rPr>
          <w:rFonts w:hint="eastAsia" w:hAnsi="宋体"/>
          <w:sz w:val="24"/>
        </w:rPr>
        <w:t>（2）</w:t>
      </w:r>
      <w:r>
        <w:rPr>
          <w:rFonts w:hAnsi="宋体"/>
          <w:sz w:val="24"/>
        </w:rPr>
        <w:t>洗消队伍的组成</w:t>
      </w:r>
      <w:bookmarkEnd w:id="382"/>
      <w:bookmarkEnd w:id="383"/>
      <w:bookmarkEnd w:id="384"/>
      <w:bookmarkEnd w:id="385"/>
      <w:bookmarkEnd w:id="386"/>
    </w:p>
    <w:p>
      <w:pPr>
        <w:spacing w:line="480" w:lineRule="exact"/>
        <w:ind w:firstLine="480" w:firstLineChars="200"/>
        <w:rPr>
          <w:rFonts w:hAnsi="宋体"/>
          <w:sz w:val="24"/>
        </w:rPr>
      </w:pPr>
      <w:r>
        <w:rPr>
          <w:rFonts w:hAnsi="宋体"/>
          <w:sz w:val="24"/>
        </w:rPr>
        <w:t>洗消队伍由</w:t>
      </w:r>
      <w:r>
        <w:rPr>
          <w:rFonts w:hint="eastAsia" w:hAnsi="宋体"/>
          <w:sz w:val="24"/>
        </w:rPr>
        <w:t>企业污染处置组</w:t>
      </w:r>
      <w:r>
        <w:rPr>
          <w:rFonts w:hAnsi="宋体"/>
          <w:sz w:val="24"/>
        </w:rPr>
        <w:t>组成。由</w:t>
      </w:r>
      <w:r>
        <w:rPr>
          <w:rFonts w:hint="eastAsia" w:hAnsi="宋体"/>
          <w:sz w:val="24"/>
        </w:rPr>
        <w:t>污染处置组组长</w:t>
      </w:r>
      <w:r>
        <w:rPr>
          <w:rFonts w:hAnsi="宋体"/>
          <w:sz w:val="24"/>
        </w:rPr>
        <w:t xml:space="preserve">统一协调指挥。 </w:t>
      </w:r>
    </w:p>
    <w:p>
      <w:pPr>
        <w:spacing w:before="60" w:after="60" w:line="480" w:lineRule="exact"/>
        <w:outlineLvl w:val="1"/>
        <w:rPr>
          <w:rFonts w:eastAsia="黑体"/>
          <w:b/>
          <w:snapToGrid w:val="0"/>
          <w:spacing w:val="4"/>
          <w:kern w:val="0"/>
          <w:sz w:val="28"/>
          <w:szCs w:val="30"/>
        </w:rPr>
      </w:pPr>
      <w:bookmarkStart w:id="387" w:name="_Toc10105716"/>
      <w:bookmarkStart w:id="388" w:name="_Toc318105451"/>
      <w:bookmarkStart w:id="389" w:name="_Toc484164024"/>
      <w:bookmarkStart w:id="390" w:name="_Toc332268448"/>
      <w:bookmarkStart w:id="391" w:name="_Toc382205858"/>
      <w:bookmarkStart w:id="392" w:name="_Toc320887133"/>
      <w:bookmarkStart w:id="393" w:name="_Toc341455399"/>
      <w:bookmarkStart w:id="394" w:name="_Toc390942519"/>
      <w:bookmarkStart w:id="395" w:name="_Toc500401602"/>
      <w:r>
        <w:rPr>
          <w:rFonts w:hint="eastAsia" w:eastAsia="黑体"/>
          <w:b/>
          <w:snapToGrid w:val="0"/>
          <w:spacing w:val="4"/>
          <w:kern w:val="0"/>
          <w:sz w:val="28"/>
          <w:szCs w:val="30"/>
        </w:rPr>
        <w:t>10</w:t>
      </w:r>
      <w:r>
        <w:rPr>
          <w:rFonts w:eastAsia="黑体"/>
          <w:b/>
          <w:snapToGrid w:val="0"/>
          <w:spacing w:val="4"/>
          <w:kern w:val="0"/>
          <w:sz w:val="28"/>
          <w:szCs w:val="30"/>
        </w:rPr>
        <w:t>.</w:t>
      </w:r>
      <w:r>
        <w:rPr>
          <w:rFonts w:hint="eastAsia" w:eastAsia="黑体"/>
          <w:b/>
          <w:snapToGrid w:val="0"/>
          <w:spacing w:val="4"/>
          <w:kern w:val="0"/>
          <w:sz w:val="28"/>
          <w:szCs w:val="30"/>
        </w:rPr>
        <w:t>2</w:t>
      </w:r>
      <w:r>
        <w:rPr>
          <w:rFonts w:eastAsia="黑体"/>
          <w:b/>
          <w:snapToGrid w:val="0"/>
          <w:spacing w:val="4"/>
          <w:kern w:val="0"/>
          <w:sz w:val="28"/>
          <w:szCs w:val="30"/>
        </w:rPr>
        <w:t xml:space="preserve"> 善后赔偿</w:t>
      </w:r>
      <w:bookmarkEnd w:id="387"/>
      <w:bookmarkEnd w:id="388"/>
      <w:bookmarkEnd w:id="389"/>
      <w:bookmarkEnd w:id="390"/>
      <w:bookmarkEnd w:id="391"/>
      <w:bookmarkEnd w:id="392"/>
      <w:bookmarkEnd w:id="393"/>
      <w:bookmarkEnd w:id="394"/>
      <w:bookmarkEnd w:id="395"/>
    </w:p>
    <w:p>
      <w:pPr>
        <w:spacing w:line="480" w:lineRule="exact"/>
        <w:ind w:firstLine="480" w:firstLineChars="200"/>
        <w:rPr>
          <w:rFonts w:hAnsi="宋体"/>
          <w:sz w:val="24"/>
        </w:rPr>
      </w:pPr>
      <w:r>
        <w:rPr>
          <w:rFonts w:hAnsi="宋体"/>
          <w:sz w:val="24"/>
        </w:rPr>
        <w:t>应急终止后，根据相应的法律、法规，发生突发环境事件的企业应对事故造成的经济损失进行赔偿，并对被破坏的环境进行恢复工作。</w:t>
      </w:r>
    </w:p>
    <w:p>
      <w:pPr>
        <w:spacing w:line="480" w:lineRule="exact"/>
        <w:ind w:firstLine="480" w:firstLineChars="200"/>
        <w:rPr>
          <w:rFonts w:ascii="宋体" w:hAnsi="宋体"/>
          <w:sz w:val="24"/>
        </w:rPr>
        <w:sectPr>
          <w:pgSz w:w="11906" w:h="16838"/>
          <w:pgMar w:top="1440" w:right="1800" w:bottom="1440" w:left="1800" w:header="851" w:footer="992" w:gutter="0"/>
          <w:cols w:space="425" w:num="1"/>
          <w:docGrid w:type="lines" w:linePitch="312" w:charSpace="0"/>
        </w:sectPr>
      </w:pPr>
      <w:r>
        <w:rPr>
          <w:rFonts w:hAnsi="宋体"/>
          <w:sz w:val="24"/>
        </w:rPr>
        <w:t>善后赔偿包括人员安置补偿，征用物资补偿，受污染和破坏的生态环境恢复等事项</w:t>
      </w:r>
      <w:r>
        <w:rPr>
          <w:rFonts w:ascii="宋体" w:hAnsi="宋体"/>
          <w:sz w:val="24"/>
        </w:rPr>
        <w:t>。</w:t>
      </w:r>
    </w:p>
    <w:p>
      <w:pPr>
        <w:outlineLvl w:val="0"/>
        <w:rPr>
          <w:rFonts w:eastAsia="楷体"/>
          <w:b/>
          <w:snapToGrid w:val="0"/>
          <w:spacing w:val="4"/>
          <w:kern w:val="0"/>
          <w:sz w:val="30"/>
          <w:szCs w:val="32"/>
        </w:rPr>
      </w:pPr>
      <w:bookmarkStart w:id="396" w:name="_Toc10105717"/>
      <w:bookmarkStart w:id="397" w:name="_Toc484164025"/>
      <w:bookmarkStart w:id="398" w:name="_Toc390942520"/>
      <w:r>
        <w:rPr>
          <w:rFonts w:hint="eastAsia" w:eastAsia="楷体"/>
          <w:b/>
          <w:snapToGrid w:val="0"/>
          <w:spacing w:val="4"/>
          <w:kern w:val="0"/>
          <w:sz w:val="30"/>
          <w:szCs w:val="32"/>
        </w:rPr>
        <w:t>11</w:t>
      </w:r>
      <w:r>
        <w:rPr>
          <w:rFonts w:eastAsia="楷体"/>
          <w:b/>
          <w:snapToGrid w:val="0"/>
          <w:spacing w:val="4"/>
          <w:kern w:val="0"/>
          <w:sz w:val="30"/>
          <w:szCs w:val="32"/>
        </w:rPr>
        <w:t xml:space="preserve"> 应急保障</w:t>
      </w:r>
      <w:bookmarkEnd w:id="396"/>
      <w:bookmarkEnd w:id="397"/>
      <w:bookmarkEnd w:id="398"/>
    </w:p>
    <w:p>
      <w:pPr>
        <w:spacing w:before="60" w:after="60" w:line="500" w:lineRule="exact"/>
        <w:outlineLvl w:val="1"/>
        <w:rPr>
          <w:rFonts w:eastAsia="黑体"/>
          <w:b/>
          <w:snapToGrid w:val="0"/>
          <w:spacing w:val="4"/>
          <w:kern w:val="0"/>
          <w:sz w:val="28"/>
          <w:szCs w:val="30"/>
        </w:rPr>
      </w:pPr>
      <w:bookmarkStart w:id="399" w:name="_Toc390942521"/>
      <w:bookmarkStart w:id="400" w:name="_Toc500401604"/>
      <w:bookmarkStart w:id="401" w:name="_Toc356381070"/>
      <w:bookmarkStart w:id="402" w:name="_Toc10105718"/>
      <w:bookmarkStart w:id="403" w:name="_Toc484164026"/>
      <w:r>
        <w:rPr>
          <w:rFonts w:hint="eastAsia" w:eastAsia="黑体"/>
          <w:b/>
          <w:snapToGrid w:val="0"/>
          <w:spacing w:val="4"/>
          <w:kern w:val="0"/>
          <w:sz w:val="28"/>
          <w:szCs w:val="30"/>
        </w:rPr>
        <w:t>11</w:t>
      </w:r>
      <w:r>
        <w:rPr>
          <w:rFonts w:eastAsia="黑体"/>
          <w:b/>
          <w:snapToGrid w:val="0"/>
          <w:spacing w:val="4"/>
          <w:kern w:val="0"/>
          <w:sz w:val="28"/>
          <w:szCs w:val="30"/>
        </w:rPr>
        <w:t>.1 通信与信息保障</w:t>
      </w:r>
      <w:bookmarkEnd w:id="399"/>
      <w:bookmarkEnd w:id="400"/>
      <w:bookmarkEnd w:id="401"/>
      <w:bookmarkEnd w:id="402"/>
      <w:bookmarkEnd w:id="403"/>
    </w:p>
    <w:p>
      <w:pPr>
        <w:spacing w:line="440" w:lineRule="exact"/>
        <w:ind w:firstLine="480" w:firstLineChars="200"/>
        <w:rPr>
          <w:rFonts w:hAnsi="宋体"/>
          <w:sz w:val="24"/>
        </w:rPr>
      </w:pPr>
      <w:bookmarkStart w:id="404" w:name="_Toc356381071"/>
      <w:r>
        <w:rPr>
          <w:rFonts w:hAnsi="宋体"/>
          <w:sz w:val="24"/>
        </w:rPr>
        <w:t>（1）</w:t>
      </w:r>
      <w:r>
        <w:rPr>
          <w:rFonts w:hint="eastAsia" w:hAnsi="宋体"/>
          <w:sz w:val="24"/>
        </w:rPr>
        <w:t>应急</w:t>
      </w:r>
      <w:r>
        <w:rPr>
          <w:rFonts w:hAnsi="宋体"/>
          <w:sz w:val="24"/>
        </w:rPr>
        <w:t>联络要制定应急通讯保障措施，保证在各种应急情况下能够通讯畅通，信息传递及时，同时建立信息通信系统及维护方案，确保应急期间信息畅通。</w:t>
      </w:r>
    </w:p>
    <w:p>
      <w:pPr>
        <w:spacing w:line="440" w:lineRule="exact"/>
        <w:ind w:firstLine="480" w:firstLineChars="200"/>
        <w:rPr>
          <w:rFonts w:hAnsi="宋体"/>
          <w:sz w:val="24"/>
        </w:rPr>
      </w:pPr>
      <w:r>
        <w:rPr>
          <w:rFonts w:hAnsi="宋体"/>
          <w:sz w:val="24"/>
        </w:rPr>
        <w:t>（2）应急指挥部成员要配备完好的通讯工具，应急救援工作主要通过生产调度电话网络、对讲机和手机等作为通信联络方式，互为备用和补充；应急指挥部成员必须保持手机24小时开机，并始终保持在工作状态，在接到通知后，要在第一时间内赶到事故现场。</w:t>
      </w:r>
    </w:p>
    <w:p>
      <w:pPr>
        <w:spacing w:line="440" w:lineRule="exact"/>
        <w:ind w:firstLine="480" w:firstLineChars="200"/>
        <w:rPr>
          <w:rFonts w:hAnsi="宋体"/>
          <w:sz w:val="24"/>
        </w:rPr>
      </w:pPr>
      <w:r>
        <w:rPr>
          <w:rFonts w:hAnsi="宋体"/>
          <w:sz w:val="24"/>
        </w:rPr>
        <w:t>（3）应急指挥部要公布应急电话，并根据职务及任职人员的变动情况及时更新联系方式，同时将联系方式发放到所属</w:t>
      </w:r>
      <w:r>
        <w:rPr>
          <w:rFonts w:hint="eastAsia" w:hAnsi="宋体"/>
          <w:sz w:val="24"/>
        </w:rPr>
        <w:t>科室</w:t>
      </w:r>
      <w:r>
        <w:rPr>
          <w:rFonts w:hAnsi="宋体"/>
          <w:sz w:val="24"/>
        </w:rPr>
        <w:t>和部门。</w:t>
      </w:r>
    </w:p>
    <w:p>
      <w:pPr>
        <w:spacing w:line="440" w:lineRule="exact"/>
        <w:ind w:firstLine="480" w:firstLineChars="200"/>
        <w:rPr>
          <w:rFonts w:hAnsi="宋体"/>
          <w:sz w:val="24"/>
        </w:rPr>
      </w:pPr>
      <w:r>
        <w:rPr>
          <w:rFonts w:hAnsi="宋体"/>
          <w:sz w:val="24"/>
        </w:rPr>
        <w:t>（4）定期对电话网络、对讲机等通信设施进行检查维护，避免出现通信故障。</w:t>
      </w:r>
    </w:p>
    <w:p>
      <w:pPr>
        <w:spacing w:line="440" w:lineRule="exact"/>
        <w:ind w:firstLine="480" w:firstLineChars="200"/>
        <w:rPr>
          <w:rFonts w:hAnsi="宋体"/>
          <w:sz w:val="24"/>
        </w:rPr>
      </w:pPr>
      <w:r>
        <w:rPr>
          <w:rFonts w:hint="eastAsia" w:hAnsi="宋体"/>
          <w:sz w:val="24"/>
        </w:rPr>
        <w:t>办公室设立应急值守电话，同时，办公室</w:t>
      </w:r>
      <w:r>
        <w:rPr>
          <w:rFonts w:hAnsi="宋体"/>
          <w:sz w:val="24"/>
        </w:rPr>
        <w:t>建立调度网络电话联络簿、对讲机使用管理规定和应急指挥部办公室、各应急救援工作队以及外部专家、救援力量和政府等机构和人员的电话和手机号码簿，并根据人员变动情况及时更新。内部相关人员手机、电话更新必须告知应急指挥部；外部救援机构和人员的联系方式由各专业对口部门人员收集更新。</w:t>
      </w:r>
    </w:p>
    <w:p>
      <w:pPr>
        <w:spacing w:before="60" w:after="60" w:line="500" w:lineRule="exact"/>
        <w:outlineLvl w:val="1"/>
        <w:rPr>
          <w:rFonts w:eastAsia="黑体"/>
          <w:b/>
          <w:snapToGrid w:val="0"/>
          <w:spacing w:val="4"/>
          <w:kern w:val="0"/>
          <w:sz w:val="28"/>
          <w:szCs w:val="30"/>
        </w:rPr>
      </w:pPr>
      <w:bookmarkStart w:id="405" w:name="_Toc390942522"/>
      <w:bookmarkStart w:id="406" w:name="_Toc484164027"/>
      <w:bookmarkStart w:id="407" w:name="_Toc500401605"/>
      <w:bookmarkStart w:id="408" w:name="_Toc10105719"/>
      <w:r>
        <w:rPr>
          <w:rFonts w:hint="eastAsia" w:eastAsia="黑体"/>
          <w:b/>
          <w:snapToGrid w:val="0"/>
          <w:spacing w:val="4"/>
          <w:kern w:val="0"/>
          <w:sz w:val="28"/>
          <w:szCs w:val="30"/>
        </w:rPr>
        <w:t>11</w:t>
      </w:r>
      <w:r>
        <w:rPr>
          <w:rFonts w:eastAsia="黑体"/>
          <w:b/>
          <w:snapToGrid w:val="0"/>
          <w:spacing w:val="4"/>
          <w:kern w:val="0"/>
          <w:sz w:val="28"/>
          <w:szCs w:val="30"/>
        </w:rPr>
        <w:t>.2 应急队伍保障</w:t>
      </w:r>
      <w:bookmarkEnd w:id="404"/>
      <w:bookmarkEnd w:id="405"/>
      <w:bookmarkEnd w:id="406"/>
      <w:bookmarkEnd w:id="407"/>
      <w:bookmarkEnd w:id="408"/>
    </w:p>
    <w:p>
      <w:pPr>
        <w:pStyle w:val="71"/>
        <w:spacing w:line="440" w:lineRule="exact"/>
        <w:ind w:firstLine="480"/>
        <w:rPr>
          <w:rFonts w:ascii="Times New Roman" w:hAnsi="宋体"/>
          <w:kern w:val="2"/>
          <w:szCs w:val="24"/>
        </w:rPr>
      </w:pPr>
      <w:bookmarkStart w:id="409" w:name="_Toc356381072"/>
      <w:r>
        <w:rPr>
          <w:rFonts w:ascii="Times New Roman" w:hAnsi="宋体"/>
          <w:kern w:val="2"/>
          <w:szCs w:val="24"/>
        </w:rPr>
        <w:t>明确各类应急响应的人力资源，包括专业应急队伍</w:t>
      </w:r>
      <w:r>
        <w:rPr>
          <w:rFonts w:hint="eastAsia" w:ascii="Times New Roman" w:hAnsi="宋体"/>
          <w:kern w:val="2"/>
          <w:szCs w:val="24"/>
        </w:rPr>
        <w:t xml:space="preserve"> </w:t>
      </w:r>
      <w:r>
        <w:rPr>
          <w:rFonts w:ascii="Times New Roman" w:hAnsi="宋体"/>
          <w:kern w:val="2"/>
          <w:szCs w:val="24"/>
        </w:rPr>
        <w:t>、兼职应急队伍的组织与保障方案。</w:t>
      </w:r>
    </w:p>
    <w:p>
      <w:pPr>
        <w:pStyle w:val="71"/>
        <w:spacing w:line="440" w:lineRule="exact"/>
        <w:ind w:firstLine="480"/>
        <w:rPr>
          <w:rFonts w:ascii="Times New Roman" w:hAnsi="宋体"/>
          <w:kern w:val="2"/>
          <w:szCs w:val="24"/>
        </w:rPr>
      </w:pPr>
      <w:r>
        <w:rPr>
          <w:rFonts w:ascii="Times New Roman" w:hAnsi="宋体"/>
          <w:kern w:val="2"/>
          <w:szCs w:val="24"/>
        </w:rPr>
        <w:t>（1）</w:t>
      </w:r>
      <w:r>
        <w:rPr>
          <w:rFonts w:hint="eastAsia" w:ascii="Times New Roman" w:hAnsi="宋体"/>
          <w:kern w:val="2"/>
          <w:szCs w:val="24"/>
        </w:rPr>
        <w:t>企业</w:t>
      </w:r>
      <w:r>
        <w:rPr>
          <w:rFonts w:ascii="Times New Roman" w:hAnsi="宋体"/>
          <w:kern w:val="2"/>
          <w:szCs w:val="24"/>
        </w:rPr>
        <w:t>根据应急工作的需要，成立应急指挥部。整合</w:t>
      </w:r>
      <w:r>
        <w:rPr>
          <w:rFonts w:ascii="Times New Roman" w:hAnsi="Times New Roman"/>
        </w:rPr>
        <w:t>我公司</w:t>
      </w:r>
      <w:r>
        <w:rPr>
          <w:rFonts w:ascii="Times New Roman" w:hAnsi="宋体"/>
          <w:kern w:val="2"/>
          <w:szCs w:val="24"/>
        </w:rPr>
        <w:t>现有应急资源，提高装备水平，并充分利用和依托社会应急资源，提供应急期间的医疗卫生、治安保卫、交通维护和运输等应急救援力量的保障，加强广大员工应急能力建设，不断提高应急队伍的素质。</w:t>
      </w:r>
    </w:p>
    <w:p>
      <w:pPr>
        <w:pStyle w:val="71"/>
        <w:spacing w:line="440" w:lineRule="exact"/>
        <w:ind w:firstLine="480"/>
        <w:rPr>
          <w:rFonts w:ascii="Times New Roman" w:hAnsi="宋体"/>
          <w:kern w:val="2"/>
          <w:szCs w:val="24"/>
        </w:rPr>
      </w:pPr>
      <w:r>
        <w:rPr>
          <w:rFonts w:ascii="Times New Roman" w:hAnsi="宋体"/>
          <w:kern w:val="2"/>
          <w:szCs w:val="24"/>
        </w:rPr>
        <w:t>（2）所有应急指挥部成员必须无条件的服从总指挥部的命令。服从指挥，遵守纪律，不得推诿扯皮，对抢险中出现失误的部门或不服从指挥、临阵脱逃的人员要坚决给予严肃处理，情节严重、构成犯罪的，要移交司法机关，依法追究刑事责任。</w:t>
      </w:r>
    </w:p>
    <w:p>
      <w:pPr>
        <w:pStyle w:val="71"/>
        <w:spacing w:line="440" w:lineRule="exact"/>
        <w:ind w:firstLine="480"/>
        <w:rPr>
          <w:rFonts w:ascii="Times New Roman" w:hAnsi="宋体"/>
          <w:kern w:val="2"/>
          <w:szCs w:val="24"/>
        </w:rPr>
      </w:pPr>
      <w:r>
        <w:rPr>
          <w:rFonts w:ascii="Times New Roman" w:hAnsi="宋体"/>
          <w:kern w:val="2"/>
          <w:szCs w:val="24"/>
        </w:rPr>
        <w:t>（3）各部门负责人如有变动，由接替人履行职责。</w:t>
      </w:r>
    </w:p>
    <w:p>
      <w:pPr>
        <w:spacing w:before="60" w:after="60" w:line="500" w:lineRule="exact"/>
        <w:outlineLvl w:val="1"/>
        <w:rPr>
          <w:rFonts w:eastAsia="黑体"/>
          <w:b/>
          <w:snapToGrid w:val="0"/>
          <w:spacing w:val="4"/>
          <w:kern w:val="0"/>
          <w:sz w:val="28"/>
          <w:szCs w:val="30"/>
        </w:rPr>
      </w:pPr>
      <w:bookmarkStart w:id="410" w:name="_Toc390942523"/>
      <w:bookmarkStart w:id="411" w:name="_Toc484164028"/>
      <w:bookmarkStart w:id="412" w:name="_Toc500401606"/>
      <w:bookmarkStart w:id="413" w:name="_Toc10105720"/>
      <w:r>
        <w:rPr>
          <w:rFonts w:hint="eastAsia" w:eastAsia="黑体"/>
          <w:b/>
          <w:snapToGrid w:val="0"/>
          <w:spacing w:val="4"/>
          <w:kern w:val="0"/>
          <w:sz w:val="28"/>
          <w:szCs w:val="30"/>
        </w:rPr>
        <w:t>11</w:t>
      </w:r>
      <w:r>
        <w:rPr>
          <w:rFonts w:eastAsia="黑体"/>
          <w:b/>
          <w:snapToGrid w:val="0"/>
          <w:spacing w:val="4"/>
          <w:kern w:val="0"/>
          <w:sz w:val="28"/>
          <w:szCs w:val="30"/>
        </w:rPr>
        <w:t>.3 应急物资装备保障</w:t>
      </w:r>
      <w:bookmarkEnd w:id="409"/>
      <w:bookmarkEnd w:id="410"/>
      <w:bookmarkEnd w:id="411"/>
      <w:bookmarkEnd w:id="412"/>
      <w:bookmarkEnd w:id="413"/>
    </w:p>
    <w:p>
      <w:pPr>
        <w:pStyle w:val="71"/>
        <w:spacing w:line="440" w:lineRule="exact"/>
        <w:ind w:firstLine="480"/>
        <w:rPr>
          <w:rFonts w:ascii="Times New Roman" w:hAnsi="宋体"/>
          <w:kern w:val="2"/>
          <w:szCs w:val="24"/>
        </w:rPr>
      </w:pPr>
      <w:bookmarkStart w:id="414" w:name="_Toc356381073"/>
      <w:r>
        <w:rPr>
          <w:rFonts w:ascii="Times New Roman" w:hAnsi="宋体"/>
          <w:kern w:val="2"/>
          <w:szCs w:val="24"/>
        </w:rPr>
        <w:t>明确应急处置需要使用的应急物资和装备的类型、数量、性能、存放位置、管理责任人及其联系方式等内容。</w:t>
      </w:r>
    </w:p>
    <w:p>
      <w:pPr>
        <w:pStyle w:val="71"/>
        <w:spacing w:line="440" w:lineRule="exact"/>
        <w:ind w:firstLine="480"/>
        <w:rPr>
          <w:rFonts w:ascii="Times New Roman" w:hAnsi="宋体"/>
          <w:kern w:val="2"/>
          <w:szCs w:val="24"/>
        </w:rPr>
      </w:pPr>
      <w:r>
        <w:rPr>
          <w:rFonts w:ascii="Times New Roman" w:hAnsi="宋体"/>
          <w:kern w:val="2"/>
          <w:szCs w:val="24"/>
        </w:rPr>
        <w:t>应急物品储备由应急指挥部提出计划，各部门统一储备、管理、调度，确保应急所需物资及时供应。</w:t>
      </w:r>
    </w:p>
    <w:p>
      <w:pPr>
        <w:spacing w:before="60" w:after="60" w:line="500" w:lineRule="exact"/>
        <w:outlineLvl w:val="1"/>
        <w:rPr>
          <w:rFonts w:eastAsia="黑体"/>
          <w:b/>
          <w:snapToGrid w:val="0"/>
          <w:spacing w:val="4"/>
          <w:kern w:val="0"/>
          <w:sz w:val="28"/>
          <w:szCs w:val="30"/>
        </w:rPr>
      </w:pPr>
      <w:bookmarkStart w:id="415" w:name="_Toc390942524"/>
      <w:bookmarkStart w:id="416" w:name="_Toc484164029"/>
      <w:bookmarkStart w:id="417" w:name="_Toc500401607"/>
      <w:bookmarkStart w:id="418" w:name="_Toc10105721"/>
      <w:r>
        <w:rPr>
          <w:rFonts w:hint="eastAsia" w:eastAsia="黑体"/>
          <w:b/>
          <w:snapToGrid w:val="0"/>
          <w:spacing w:val="4"/>
          <w:kern w:val="0"/>
          <w:sz w:val="28"/>
          <w:szCs w:val="30"/>
        </w:rPr>
        <w:t>11</w:t>
      </w:r>
      <w:r>
        <w:rPr>
          <w:rFonts w:eastAsia="黑体"/>
          <w:b/>
          <w:snapToGrid w:val="0"/>
          <w:spacing w:val="4"/>
          <w:kern w:val="0"/>
          <w:sz w:val="28"/>
          <w:szCs w:val="30"/>
        </w:rPr>
        <w:t>.4 经费保障</w:t>
      </w:r>
      <w:bookmarkEnd w:id="414"/>
      <w:bookmarkEnd w:id="415"/>
      <w:bookmarkEnd w:id="416"/>
      <w:bookmarkEnd w:id="417"/>
      <w:bookmarkEnd w:id="418"/>
    </w:p>
    <w:p>
      <w:pPr>
        <w:pStyle w:val="71"/>
        <w:spacing w:line="440" w:lineRule="exact"/>
        <w:ind w:firstLine="480"/>
        <w:rPr>
          <w:rFonts w:ascii="Times New Roman" w:hAnsi="Times New Roman"/>
          <w:color w:val="000000" w:themeColor="text1"/>
          <w14:textFill>
            <w14:solidFill>
              <w14:schemeClr w14:val="tx1"/>
            </w14:solidFill>
          </w14:textFill>
        </w:rPr>
      </w:pPr>
      <w:r>
        <w:rPr>
          <w:rFonts w:hint="eastAsia" w:ascii="Times New Roman" w:hAnsi="Times New Roman"/>
        </w:rPr>
        <w:t>办公室</w:t>
      </w:r>
      <w:r>
        <w:rPr>
          <w:rFonts w:ascii="Times New Roman" w:hAnsi="Times New Roman"/>
        </w:rPr>
        <w:t>为公司应急救援工作提供物质、资金保障。设立专项资</w:t>
      </w:r>
      <w:r>
        <w:rPr>
          <w:rFonts w:ascii="Times New Roman" w:hAnsi="Times New Roman"/>
          <w:color w:val="000000" w:themeColor="text1"/>
          <w14:textFill>
            <w14:solidFill>
              <w14:schemeClr w14:val="tx1"/>
            </w14:solidFill>
          </w14:textFill>
        </w:rPr>
        <w:t>金</w:t>
      </w:r>
      <w:r>
        <w:rPr>
          <w:rFonts w:hint="eastAsia" w:ascii="Times New Roman" w:hAnsi="Times New Roman"/>
          <w:color w:val="000000" w:themeColor="text1"/>
          <w14:textFill>
            <w14:solidFill>
              <w14:schemeClr w14:val="tx1"/>
            </w14:solidFill>
          </w14:textFill>
        </w:rPr>
        <w:t>1</w:t>
      </w:r>
      <w:r>
        <w:rPr>
          <w:rFonts w:ascii="Times New Roman" w:hAnsi="Times New Roman"/>
          <w:color w:val="000000" w:themeColor="text1"/>
          <w14:textFill>
            <w14:solidFill>
              <w14:schemeClr w14:val="tx1"/>
            </w14:solidFill>
          </w14:textFill>
        </w:rPr>
        <w:t>万元/年，保证专款专用，并能随时取出。</w:t>
      </w:r>
    </w:p>
    <w:p>
      <w:pPr>
        <w:spacing w:before="60" w:after="60" w:line="500" w:lineRule="exact"/>
        <w:outlineLvl w:val="1"/>
        <w:rPr>
          <w:rFonts w:eastAsia="黑体"/>
          <w:b/>
          <w:snapToGrid w:val="0"/>
          <w:spacing w:val="4"/>
          <w:kern w:val="0"/>
          <w:sz w:val="28"/>
          <w:szCs w:val="30"/>
        </w:rPr>
      </w:pPr>
      <w:bookmarkStart w:id="419" w:name="_Toc10105722"/>
      <w:bookmarkStart w:id="420" w:name="_Toc1205"/>
      <w:r>
        <w:rPr>
          <w:rFonts w:hint="eastAsia" w:eastAsia="黑体"/>
          <w:b/>
          <w:snapToGrid w:val="0"/>
          <w:spacing w:val="4"/>
          <w:kern w:val="0"/>
          <w:sz w:val="28"/>
          <w:szCs w:val="30"/>
        </w:rPr>
        <w:t>11</w:t>
      </w:r>
      <w:r>
        <w:rPr>
          <w:rFonts w:eastAsia="黑体"/>
          <w:b/>
          <w:snapToGrid w:val="0"/>
          <w:spacing w:val="4"/>
          <w:kern w:val="0"/>
          <w:sz w:val="28"/>
          <w:szCs w:val="30"/>
        </w:rPr>
        <w:t>.</w:t>
      </w:r>
      <w:r>
        <w:rPr>
          <w:rFonts w:hint="eastAsia" w:eastAsia="黑体"/>
          <w:b/>
          <w:snapToGrid w:val="0"/>
          <w:spacing w:val="4"/>
          <w:kern w:val="0"/>
          <w:sz w:val="28"/>
          <w:szCs w:val="30"/>
        </w:rPr>
        <w:t xml:space="preserve">5 </w:t>
      </w:r>
      <w:r>
        <w:rPr>
          <w:rFonts w:eastAsia="黑体"/>
          <w:b/>
          <w:snapToGrid w:val="0"/>
          <w:spacing w:val="4"/>
          <w:kern w:val="0"/>
          <w:sz w:val="28"/>
          <w:szCs w:val="30"/>
        </w:rPr>
        <w:t>医疗保障</w:t>
      </w:r>
      <w:bookmarkEnd w:id="419"/>
      <w:bookmarkEnd w:id="420"/>
    </w:p>
    <w:p>
      <w:pPr>
        <w:pStyle w:val="71"/>
        <w:spacing w:line="480" w:lineRule="exact"/>
        <w:ind w:firstLine="480"/>
        <w:rPr>
          <w:rFonts w:ascii="Times New Roman" w:hAnsi="Times New Roman"/>
        </w:rPr>
      </w:pPr>
      <w:r>
        <w:rPr>
          <w:rFonts w:ascii="Times New Roman" w:hAnsi="Times New Roman"/>
        </w:rPr>
        <w:t>公司</w:t>
      </w:r>
      <w:r>
        <w:rPr>
          <w:rFonts w:hint="eastAsia" w:ascii="Times New Roman" w:hAnsi="Times New Roman"/>
        </w:rPr>
        <w:t>备有急救箱作为紧急救治物资。当人员受伤严重超出企业医疗救护能力时，及时联系该医院或直接拨打</w:t>
      </w:r>
      <w:r>
        <w:rPr>
          <w:rFonts w:ascii="Times New Roman" w:hAnsi="Times New Roman"/>
        </w:rPr>
        <w:t>120</w:t>
      </w:r>
      <w:r>
        <w:rPr>
          <w:rFonts w:hint="eastAsia" w:ascii="Times New Roman" w:hAnsi="Times New Roman"/>
        </w:rPr>
        <w:t>。</w:t>
      </w:r>
    </w:p>
    <w:p>
      <w:pPr>
        <w:pStyle w:val="71"/>
        <w:spacing w:line="480" w:lineRule="exact"/>
        <w:ind w:firstLine="480"/>
        <w:rPr>
          <w:rFonts w:ascii="Times New Roman" w:hAnsi="Times New Roman"/>
        </w:rPr>
      </w:pPr>
      <w:r>
        <w:rPr>
          <w:rFonts w:hint="eastAsia" w:ascii="Times New Roman" w:hAnsi="Times New Roman"/>
        </w:rPr>
        <w:t>管理部负责落实与地方医疗卫生、职业病防治部门的应急医疗救援协议的签订，落实急救药箱药品，急救器材的配备与更新，落实组织现场应急人员与医疗急救人员定期的医疗急救知识与技术的培训。</w:t>
      </w:r>
    </w:p>
    <w:p>
      <w:pPr>
        <w:spacing w:before="60" w:after="60" w:line="500" w:lineRule="exact"/>
        <w:outlineLvl w:val="1"/>
        <w:rPr>
          <w:rFonts w:eastAsia="黑体"/>
          <w:b/>
          <w:snapToGrid w:val="0"/>
          <w:spacing w:val="4"/>
          <w:kern w:val="0"/>
          <w:sz w:val="28"/>
          <w:szCs w:val="30"/>
        </w:rPr>
      </w:pPr>
      <w:bookmarkStart w:id="421" w:name="_Toc10105723"/>
      <w:bookmarkStart w:id="422" w:name="_Toc2422"/>
      <w:r>
        <w:rPr>
          <w:rFonts w:hint="eastAsia" w:eastAsia="黑体"/>
          <w:b/>
          <w:snapToGrid w:val="0"/>
          <w:spacing w:val="4"/>
          <w:kern w:val="0"/>
          <w:sz w:val="28"/>
          <w:szCs w:val="30"/>
        </w:rPr>
        <w:t>11</w:t>
      </w:r>
      <w:r>
        <w:rPr>
          <w:rFonts w:eastAsia="黑体"/>
          <w:b/>
          <w:snapToGrid w:val="0"/>
          <w:spacing w:val="4"/>
          <w:kern w:val="0"/>
          <w:sz w:val="28"/>
          <w:szCs w:val="30"/>
        </w:rPr>
        <w:t>.</w:t>
      </w:r>
      <w:r>
        <w:rPr>
          <w:rFonts w:hint="eastAsia" w:eastAsia="黑体"/>
          <w:b/>
          <w:snapToGrid w:val="0"/>
          <w:spacing w:val="4"/>
          <w:kern w:val="0"/>
          <w:sz w:val="28"/>
          <w:szCs w:val="30"/>
        </w:rPr>
        <w:t xml:space="preserve">6 </w:t>
      </w:r>
      <w:r>
        <w:rPr>
          <w:rFonts w:eastAsia="黑体"/>
          <w:b/>
          <w:snapToGrid w:val="0"/>
          <w:spacing w:val="4"/>
          <w:kern w:val="0"/>
          <w:sz w:val="28"/>
          <w:szCs w:val="30"/>
        </w:rPr>
        <w:t>交通运输保障</w:t>
      </w:r>
      <w:bookmarkEnd w:id="421"/>
      <w:bookmarkEnd w:id="422"/>
    </w:p>
    <w:p>
      <w:pPr>
        <w:pStyle w:val="71"/>
        <w:spacing w:line="440" w:lineRule="exact"/>
        <w:ind w:firstLine="480"/>
        <w:rPr>
          <w:rFonts w:ascii="Times New Roman" w:hAnsi="Times New Roman"/>
        </w:rPr>
      </w:pPr>
      <w:bookmarkStart w:id="423" w:name="_Toc484164030"/>
      <w:r>
        <w:rPr>
          <w:rFonts w:hint="eastAsia" w:ascii="Times New Roman" w:hAnsi="Times New Roman"/>
        </w:rPr>
        <w:t>企业</w:t>
      </w:r>
      <w:r>
        <w:rPr>
          <w:rFonts w:ascii="Times New Roman" w:hAnsi="Times New Roman"/>
        </w:rPr>
        <w:t>具有</w:t>
      </w:r>
      <w:r>
        <w:rPr>
          <w:rFonts w:hint="eastAsia" w:ascii="Times New Roman" w:hAnsi="Times New Roman"/>
        </w:rPr>
        <w:t>救护车</w:t>
      </w:r>
      <w:r>
        <w:rPr>
          <w:rFonts w:ascii="Times New Roman" w:hAnsi="Times New Roman"/>
        </w:rPr>
        <w:t>作为交通运输车辆。当突发环境事件影响严重，需要交通运输援助时，</w:t>
      </w:r>
      <w:r>
        <w:rPr>
          <w:rFonts w:hint="eastAsia" w:ascii="Times New Roman" w:hAnsi="Times New Roman"/>
        </w:rPr>
        <w:t>企业</w:t>
      </w:r>
      <w:r>
        <w:rPr>
          <w:rFonts w:ascii="Times New Roman" w:hAnsi="Times New Roman"/>
        </w:rPr>
        <w:t>及时联系附近交警大队，请他们协助安排好交通封锁和疏通，保证及时调运有关应急救援人员、装备和物资。</w:t>
      </w:r>
    </w:p>
    <w:p>
      <w:pPr>
        <w:pStyle w:val="45"/>
        <w:spacing w:line="500" w:lineRule="exact"/>
        <w:ind w:firstLine="0" w:firstLineChars="0"/>
        <w:outlineLvl w:val="0"/>
        <w:rPr>
          <w:rFonts w:ascii="Times New Roman" w:hAnsi="Times New Roman" w:cs="Times New Roman"/>
          <w:b/>
          <w:color w:val="000000"/>
          <w:sz w:val="32"/>
          <w:szCs w:val="32"/>
        </w:rPr>
        <w:sectPr>
          <w:pgSz w:w="11906" w:h="16838"/>
          <w:pgMar w:top="1440" w:right="1800" w:bottom="1440" w:left="1800" w:header="851" w:footer="992" w:gutter="0"/>
          <w:cols w:space="425" w:num="1"/>
          <w:docGrid w:type="lines" w:linePitch="312" w:charSpace="0"/>
        </w:sectPr>
      </w:pPr>
    </w:p>
    <w:p>
      <w:pPr>
        <w:outlineLvl w:val="0"/>
        <w:rPr>
          <w:rFonts w:eastAsia="楷体"/>
          <w:b/>
          <w:snapToGrid w:val="0"/>
          <w:spacing w:val="4"/>
          <w:kern w:val="0"/>
          <w:sz w:val="30"/>
          <w:szCs w:val="32"/>
        </w:rPr>
      </w:pPr>
      <w:bookmarkStart w:id="424" w:name="_Toc10105724"/>
      <w:r>
        <w:rPr>
          <w:rFonts w:eastAsia="楷体"/>
          <w:b/>
          <w:snapToGrid w:val="0"/>
          <w:spacing w:val="4"/>
          <w:kern w:val="0"/>
          <w:sz w:val="30"/>
          <w:szCs w:val="32"/>
        </w:rPr>
        <w:t>1</w:t>
      </w:r>
      <w:r>
        <w:rPr>
          <w:rFonts w:hint="eastAsia" w:eastAsia="楷体"/>
          <w:b/>
          <w:snapToGrid w:val="0"/>
          <w:spacing w:val="4"/>
          <w:kern w:val="0"/>
          <w:sz w:val="30"/>
          <w:szCs w:val="32"/>
        </w:rPr>
        <w:t>2</w:t>
      </w:r>
      <w:r>
        <w:rPr>
          <w:rFonts w:eastAsia="楷体"/>
          <w:b/>
          <w:snapToGrid w:val="0"/>
          <w:spacing w:val="4"/>
          <w:kern w:val="0"/>
          <w:sz w:val="30"/>
          <w:szCs w:val="32"/>
        </w:rPr>
        <w:t xml:space="preserve"> 监督与管理</w:t>
      </w:r>
      <w:bookmarkEnd w:id="423"/>
      <w:bookmarkEnd w:id="424"/>
    </w:p>
    <w:p>
      <w:pPr>
        <w:spacing w:before="60" w:after="60" w:line="500" w:lineRule="exact"/>
        <w:outlineLvl w:val="1"/>
        <w:rPr>
          <w:rFonts w:eastAsia="黑体"/>
          <w:b/>
          <w:snapToGrid w:val="0"/>
          <w:spacing w:val="4"/>
          <w:kern w:val="0"/>
          <w:sz w:val="28"/>
          <w:szCs w:val="30"/>
        </w:rPr>
      </w:pPr>
      <w:bookmarkStart w:id="425" w:name="_Toc465957529"/>
      <w:bookmarkStart w:id="426" w:name="_Toc481763324"/>
      <w:bookmarkStart w:id="427" w:name="_Toc500401609"/>
      <w:bookmarkStart w:id="428" w:name="_Toc10105725"/>
      <w:bookmarkStart w:id="429" w:name="_Toc465957531"/>
      <w:bookmarkStart w:id="430" w:name="_Toc484164042"/>
      <w:bookmarkStart w:id="431" w:name="_Toc484164048"/>
      <w:r>
        <w:rPr>
          <w:rFonts w:eastAsia="黑体"/>
          <w:b/>
          <w:snapToGrid w:val="0"/>
          <w:spacing w:val="4"/>
          <w:kern w:val="0"/>
          <w:sz w:val="28"/>
          <w:szCs w:val="30"/>
        </w:rPr>
        <w:t>12.1</w:t>
      </w:r>
      <w:r>
        <w:rPr>
          <w:rFonts w:hint="eastAsia" w:eastAsia="黑体"/>
          <w:b/>
          <w:snapToGrid w:val="0"/>
          <w:spacing w:val="4"/>
          <w:kern w:val="0"/>
          <w:sz w:val="28"/>
          <w:szCs w:val="30"/>
        </w:rPr>
        <w:t>预案演练</w:t>
      </w:r>
      <w:bookmarkEnd w:id="425"/>
      <w:bookmarkEnd w:id="426"/>
      <w:bookmarkEnd w:id="427"/>
      <w:bookmarkEnd w:id="428"/>
    </w:p>
    <w:p>
      <w:pPr>
        <w:spacing w:line="440" w:lineRule="exact"/>
        <w:ind w:firstLine="480" w:firstLineChars="200"/>
        <w:rPr>
          <w:sz w:val="24"/>
        </w:rPr>
      </w:pPr>
      <w:r>
        <w:rPr>
          <w:rFonts w:hint="eastAsia"/>
          <w:sz w:val="24"/>
        </w:rPr>
        <w:t>应急演练是检验、评价和保持应急能力的一个重要手段。它可在事故真正发生前暴露预案和程序的缺陷；发现应急资源的不足（包括人力和设备等）；改善各应急部门、机构、人员之间的协调；增强公众对突发环境事件应急救援的信心和应急意识；提高应急人员的熟练程度和技术水平；进一步明确各自的岗位与职责；提高整体应急反应能力。</w:t>
      </w:r>
    </w:p>
    <w:p>
      <w:pPr>
        <w:spacing w:line="440" w:lineRule="exact"/>
        <w:outlineLvl w:val="2"/>
        <w:rPr>
          <w:rFonts w:eastAsia="黑体"/>
          <w:b/>
          <w:snapToGrid w:val="0"/>
          <w:spacing w:val="4"/>
          <w:kern w:val="0"/>
          <w:sz w:val="24"/>
          <w:szCs w:val="28"/>
        </w:rPr>
      </w:pPr>
      <w:bookmarkStart w:id="432" w:name="_Toc500401610"/>
      <w:bookmarkStart w:id="433" w:name="_Toc500487335"/>
      <w:bookmarkStart w:id="434" w:name="_Toc509302758"/>
      <w:bookmarkStart w:id="435" w:name="_Toc524953736"/>
      <w:bookmarkStart w:id="436" w:name="_Toc10105726"/>
      <w:r>
        <w:rPr>
          <w:rFonts w:eastAsia="黑体"/>
          <w:b/>
          <w:snapToGrid w:val="0"/>
          <w:spacing w:val="4"/>
          <w:kern w:val="0"/>
          <w:sz w:val="24"/>
          <w:szCs w:val="28"/>
        </w:rPr>
        <w:t>12.</w:t>
      </w:r>
      <w:r>
        <w:rPr>
          <w:rFonts w:hint="eastAsia" w:eastAsia="黑体"/>
          <w:b/>
          <w:snapToGrid w:val="0"/>
          <w:spacing w:val="4"/>
          <w:kern w:val="0"/>
          <w:sz w:val="24"/>
          <w:szCs w:val="28"/>
        </w:rPr>
        <w:t>1</w:t>
      </w:r>
      <w:r>
        <w:rPr>
          <w:rFonts w:eastAsia="黑体"/>
          <w:b/>
          <w:snapToGrid w:val="0"/>
          <w:spacing w:val="4"/>
          <w:kern w:val="0"/>
          <w:sz w:val="24"/>
          <w:szCs w:val="28"/>
        </w:rPr>
        <w:t xml:space="preserve">.1 </w:t>
      </w:r>
      <w:r>
        <w:rPr>
          <w:rFonts w:hint="eastAsia" w:eastAsia="黑体"/>
          <w:b/>
          <w:snapToGrid w:val="0"/>
          <w:spacing w:val="4"/>
          <w:kern w:val="0"/>
          <w:sz w:val="24"/>
          <w:szCs w:val="28"/>
        </w:rPr>
        <w:t>演练形式和频次</w:t>
      </w:r>
      <w:bookmarkEnd w:id="432"/>
      <w:bookmarkEnd w:id="433"/>
      <w:bookmarkEnd w:id="434"/>
      <w:bookmarkEnd w:id="435"/>
      <w:bookmarkEnd w:id="436"/>
    </w:p>
    <w:p>
      <w:pPr>
        <w:spacing w:line="440" w:lineRule="exact"/>
        <w:ind w:firstLine="480" w:firstLineChars="200"/>
        <w:rPr>
          <w:sz w:val="24"/>
        </w:rPr>
      </w:pPr>
      <w:r>
        <w:rPr>
          <w:rFonts w:hint="eastAsia"/>
          <w:sz w:val="24"/>
        </w:rPr>
        <w:t>应急演练可通过以下方式：</w:t>
      </w:r>
    </w:p>
    <w:p>
      <w:pPr>
        <w:spacing w:line="440" w:lineRule="exact"/>
        <w:ind w:firstLine="480" w:firstLineChars="200"/>
        <w:rPr>
          <w:sz w:val="24"/>
        </w:rPr>
      </w:pPr>
      <w:r>
        <w:rPr>
          <w:rFonts w:hint="eastAsia"/>
          <w:sz w:val="24"/>
        </w:rPr>
        <w:t>（1）桌面演练。由应急小组的代表或关键岗位人员参加，按照应急预案及其标准工作程序，讨论紧急情况时采取行动的演练活动。一般可在修订预案前或修订完成后进行。</w:t>
      </w:r>
    </w:p>
    <w:p>
      <w:pPr>
        <w:spacing w:line="440" w:lineRule="exact"/>
        <w:ind w:firstLine="480" w:firstLineChars="200"/>
        <w:rPr>
          <w:sz w:val="24"/>
        </w:rPr>
      </w:pPr>
      <w:r>
        <w:rPr>
          <w:rFonts w:hint="eastAsia"/>
          <w:sz w:val="24"/>
        </w:rPr>
        <w:t>（2）功能演练。针对某项应急预案或其中某些应急响应行动举行的演练活动。</w:t>
      </w:r>
    </w:p>
    <w:p>
      <w:pPr>
        <w:spacing w:line="440" w:lineRule="exact"/>
        <w:ind w:firstLine="480" w:firstLineChars="200"/>
        <w:rPr>
          <w:sz w:val="24"/>
        </w:rPr>
      </w:pPr>
      <w:r>
        <w:rPr>
          <w:rFonts w:hint="eastAsia"/>
          <w:sz w:val="24"/>
        </w:rPr>
        <w:t>（3）全面演练。针对应急预案中全部或大部分应急响应功能，检验、评价应急小组应急行动能力的演练活动。</w:t>
      </w:r>
    </w:p>
    <w:p>
      <w:pPr>
        <w:spacing w:line="440" w:lineRule="exact"/>
        <w:ind w:firstLine="480" w:firstLineChars="200"/>
        <w:rPr>
          <w:sz w:val="24"/>
        </w:rPr>
      </w:pPr>
      <w:r>
        <w:rPr>
          <w:rFonts w:hint="eastAsia"/>
          <w:sz w:val="24"/>
        </w:rPr>
        <w:t>企业每年至少组织一次应急预案演练。</w:t>
      </w:r>
    </w:p>
    <w:p>
      <w:pPr>
        <w:spacing w:line="440" w:lineRule="exact"/>
        <w:outlineLvl w:val="2"/>
        <w:rPr>
          <w:rFonts w:eastAsia="黑体"/>
          <w:b/>
          <w:snapToGrid w:val="0"/>
          <w:spacing w:val="4"/>
          <w:kern w:val="0"/>
          <w:sz w:val="24"/>
          <w:szCs w:val="28"/>
        </w:rPr>
      </w:pPr>
      <w:bookmarkStart w:id="437" w:name="_Toc500401611"/>
      <w:bookmarkStart w:id="438" w:name="_Toc500487336"/>
      <w:bookmarkStart w:id="439" w:name="_Toc509302759"/>
      <w:bookmarkStart w:id="440" w:name="_Toc524953737"/>
      <w:bookmarkStart w:id="441" w:name="_Toc10105727"/>
      <w:r>
        <w:rPr>
          <w:rFonts w:eastAsia="黑体"/>
          <w:b/>
          <w:snapToGrid w:val="0"/>
          <w:spacing w:val="4"/>
          <w:kern w:val="0"/>
          <w:sz w:val="24"/>
          <w:szCs w:val="28"/>
        </w:rPr>
        <w:t>12.</w:t>
      </w:r>
      <w:r>
        <w:rPr>
          <w:rFonts w:hint="eastAsia" w:eastAsia="黑体"/>
          <w:b/>
          <w:snapToGrid w:val="0"/>
          <w:spacing w:val="4"/>
          <w:kern w:val="0"/>
          <w:sz w:val="24"/>
          <w:szCs w:val="28"/>
        </w:rPr>
        <w:t>1</w:t>
      </w:r>
      <w:r>
        <w:rPr>
          <w:rFonts w:eastAsia="黑体"/>
          <w:b/>
          <w:snapToGrid w:val="0"/>
          <w:spacing w:val="4"/>
          <w:kern w:val="0"/>
          <w:sz w:val="24"/>
          <w:szCs w:val="28"/>
        </w:rPr>
        <w:t>.</w:t>
      </w:r>
      <w:r>
        <w:rPr>
          <w:rFonts w:hint="eastAsia" w:eastAsia="黑体"/>
          <w:b/>
          <w:snapToGrid w:val="0"/>
          <w:spacing w:val="4"/>
          <w:kern w:val="0"/>
          <w:sz w:val="24"/>
          <w:szCs w:val="28"/>
        </w:rPr>
        <w:t>2</w:t>
      </w:r>
      <w:r>
        <w:rPr>
          <w:rFonts w:eastAsia="黑体"/>
          <w:b/>
          <w:snapToGrid w:val="0"/>
          <w:spacing w:val="4"/>
          <w:kern w:val="0"/>
          <w:sz w:val="24"/>
          <w:szCs w:val="28"/>
        </w:rPr>
        <w:t>演练组织与级别</w:t>
      </w:r>
      <w:bookmarkEnd w:id="437"/>
      <w:bookmarkEnd w:id="438"/>
      <w:bookmarkEnd w:id="439"/>
      <w:bookmarkEnd w:id="440"/>
      <w:bookmarkEnd w:id="441"/>
    </w:p>
    <w:p>
      <w:pPr>
        <w:spacing w:line="440" w:lineRule="exact"/>
        <w:ind w:firstLine="480" w:firstLineChars="200"/>
        <w:rPr>
          <w:rFonts w:ascii="宋体" w:hAnsi="宋体"/>
          <w:sz w:val="24"/>
        </w:rPr>
      </w:pPr>
      <w:bookmarkStart w:id="442" w:name="_Toc500401612"/>
      <w:bookmarkStart w:id="443" w:name="_Toc500487337"/>
      <w:bookmarkStart w:id="444" w:name="_Toc509302760"/>
      <w:r>
        <w:rPr>
          <w:rFonts w:ascii="宋体" w:hAnsi="宋体"/>
          <w:sz w:val="24"/>
        </w:rPr>
        <w:t>应急演练分为部门、公司级演练和配合政府部门演练三级；</w:t>
      </w:r>
    </w:p>
    <w:p>
      <w:pPr>
        <w:spacing w:line="440" w:lineRule="exact"/>
        <w:ind w:firstLine="480" w:firstLineChars="200"/>
        <w:rPr>
          <w:rFonts w:ascii="宋体" w:hAnsi="宋体"/>
          <w:sz w:val="24"/>
        </w:rPr>
      </w:pPr>
      <w:r>
        <w:rPr>
          <w:rFonts w:ascii="宋体" w:hAnsi="宋体"/>
          <w:sz w:val="24"/>
        </w:rPr>
        <w:t>部门级的演练由部门负责人（现场指挥）组织进行，公司应急指挥领导小组观摩指导；</w:t>
      </w:r>
    </w:p>
    <w:p>
      <w:pPr>
        <w:spacing w:line="440" w:lineRule="exact"/>
        <w:ind w:firstLine="480" w:firstLineChars="200"/>
        <w:rPr>
          <w:rFonts w:ascii="宋体" w:hAnsi="宋体"/>
          <w:sz w:val="24"/>
        </w:rPr>
      </w:pPr>
      <w:r>
        <w:rPr>
          <w:rFonts w:ascii="宋体" w:hAnsi="宋体"/>
          <w:sz w:val="24"/>
        </w:rPr>
        <w:t>公司级演练由公司应急指挥小组组织进行，各相关部门参加；</w:t>
      </w:r>
    </w:p>
    <w:p>
      <w:pPr>
        <w:spacing w:line="440" w:lineRule="exact"/>
        <w:ind w:firstLine="480" w:firstLineChars="200"/>
        <w:rPr>
          <w:rFonts w:ascii="宋体" w:hAnsi="宋体"/>
          <w:sz w:val="24"/>
        </w:rPr>
      </w:pPr>
      <w:r>
        <w:rPr>
          <w:rFonts w:ascii="宋体" w:hAnsi="宋体"/>
          <w:sz w:val="24"/>
        </w:rPr>
        <w:t>与政府有关部门的联合演练，由政府有关部门组织进行，公司应急领导小组成员参加，相关部门人员参加配合。</w:t>
      </w:r>
    </w:p>
    <w:p>
      <w:pPr>
        <w:spacing w:line="440" w:lineRule="exact"/>
        <w:outlineLvl w:val="2"/>
        <w:rPr>
          <w:rFonts w:eastAsia="黑体"/>
          <w:b/>
          <w:snapToGrid w:val="0"/>
          <w:spacing w:val="4"/>
          <w:kern w:val="0"/>
          <w:sz w:val="24"/>
          <w:szCs w:val="28"/>
        </w:rPr>
      </w:pPr>
      <w:bookmarkStart w:id="445" w:name="_Toc524953738"/>
      <w:bookmarkStart w:id="446" w:name="_Toc10105728"/>
      <w:r>
        <w:rPr>
          <w:rFonts w:eastAsia="黑体"/>
          <w:b/>
          <w:snapToGrid w:val="0"/>
          <w:spacing w:val="4"/>
          <w:kern w:val="0"/>
          <w:sz w:val="24"/>
          <w:szCs w:val="28"/>
        </w:rPr>
        <w:t>12.</w:t>
      </w:r>
      <w:r>
        <w:rPr>
          <w:rFonts w:hint="eastAsia" w:eastAsia="黑体"/>
          <w:b/>
          <w:snapToGrid w:val="0"/>
          <w:spacing w:val="4"/>
          <w:kern w:val="0"/>
          <w:sz w:val="24"/>
          <w:szCs w:val="28"/>
        </w:rPr>
        <w:t>1</w:t>
      </w:r>
      <w:r>
        <w:rPr>
          <w:rFonts w:eastAsia="黑体"/>
          <w:b/>
          <w:snapToGrid w:val="0"/>
          <w:spacing w:val="4"/>
          <w:kern w:val="0"/>
          <w:sz w:val="24"/>
          <w:szCs w:val="28"/>
        </w:rPr>
        <w:t>.</w:t>
      </w:r>
      <w:r>
        <w:rPr>
          <w:rFonts w:hint="eastAsia" w:eastAsia="黑体"/>
          <w:b/>
          <w:snapToGrid w:val="0"/>
          <w:spacing w:val="4"/>
          <w:kern w:val="0"/>
          <w:sz w:val="24"/>
          <w:szCs w:val="28"/>
        </w:rPr>
        <w:t>3</w:t>
      </w:r>
      <w:r>
        <w:rPr>
          <w:rFonts w:eastAsia="黑体"/>
          <w:b/>
          <w:snapToGrid w:val="0"/>
          <w:spacing w:val="4"/>
          <w:kern w:val="0"/>
          <w:sz w:val="24"/>
          <w:szCs w:val="28"/>
        </w:rPr>
        <w:t>演练</w:t>
      </w:r>
      <w:r>
        <w:rPr>
          <w:rFonts w:hint="eastAsia" w:eastAsia="黑体"/>
          <w:b/>
          <w:snapToGrid w:val="0"/>
          <w:spacing w:val="4"/>
          <w:kern w:val="0"/>
          <w:sz w:val="24"/>
          <w:szCs w:val="28"/>
        </w:rPr>
        <w:t>评估和总结</w:t>
      </w:r>
      <w:bookmarkEnd w:id="442"/>
      <w:bookmarkEnd w:id="443"/>
      <w:bookmarkEnd w:id="444"/>
      <w:bookmarkEnd w:id="445"/>
      <w:bookmarkEnd w:id="446"/>
    </w:p>
    <w:p>
      <w:pPr>
        <w:spacing w:line="440" w:lineRule="exact"/>
        <w:ind w:firstLine="480" w:firstLineChars="200"/>
        <w:rPr>
          <w:sz w:val="24"/>
        </w:rPr>
      </w:pPr>
      <w:r>
        <w:rPr>
          <w:rFonts w:hint="eastAsia"/>
          <w:sz w:val="24"/>
        </w:rPr>
        <w:t>预案演练要全过程记录演练过程，在全面分析演练记录及相关资料的基础上，对比参演人员表现与演练目标要求，对演练活动及其组织过程作出客观评价，并编写演练评估报告。所有应急演练活动都应进行演练评估。</w:t>
      </w:r>
    </w:p>
    <w:p>
      <w:pPr>
        <w:spacing w:line="440" w:lineRule="exact"/>
        <w:ind w:firstLine="480" w:firstLineChars="200"/>
        <w:rPr>
          <w:sz w:val="24"/>
        </w:rPr>
      </w:pPr>
      <w:r>
        <w:rPr>
          <w:rFonts w:hint="eastAsia"/>
          <w:sz w:val="24"/>
        </w:rPr>
        <w:t>在演练结束后，要根据演练记录、演练评估报告、应急预案、现场总结等材料，对演练进行系统和全面的总结，并形成演练总结报告。</w:t>
      </w:r>
    </w:p>
    <w:p>
      <w:pPr>
        <w:spacing w:before="60" w:after="60" w:line="500" w:lineRule="exact"/>
        <w:outlineLvl w:val="1"/>
        <w:rPr>
          <w:rFonts w:eastAsia="黑体"/>
          <w:b/>
          <w:snapToGrid w:val="0"/>
          <w:spacing w:val="4"/>
          <w:kern w:val="0"/>
          <w:sz w:val="28"/>
          <w:szCs w:val="30"/>
        </w:rPr>
      </w:pPr>
      <w:bookmarkStart w:id="447" w:name="_Toc500401613"/>
      <w:bookmarkStart w:id="448" w:name="_Toc10105729"/>
      <w:r>
        <w:rPr>
          <w:rFonts w:eastAsia="黑体"/>
          <w:b/>
          <w:snapToGrid w:val="0"/>
          <w:spacing w:val="4"/>
          <w:kern w:val="0"/>
          <w:sz w:val="28"/>
          <w:szCs w:val="30"/>
        </w:rPr>
        <w:t>12.</w:t>
      </w:r>
      <w:r>
        <w:rPr>
          <w:rFonts w:hint="eastAsia" w:eastAsia="黑体"/>
          <w:b/>
          <w:snapToGrid w:val="0"/>
          <w:spacing w:val="4"/>
          <w:kern w:val="0"/>
          <w:sz w:val="28"/>
          <w:szCs w:val="30"/>
        </w:rPr>
        <w:t>2宣传培训</w:t>
      </w:r>
      <w:bookmarkEnd w:id="447"/>
      <w:bookmarkEnd w:id="448"/>
    </w:p>
    <w:p>
      <w:pPr>
        <w:spacing w:line="440" w:lineRule="exact"/>
        <w:outlineLvl w:val="2"/>
        <w:rPr>
          <w:rFonts w:eastAsia="黑体"/>
          <w:b/>
          <w:snapToGrid w:val="0"/>
          <w:spacing w:val="4"/>
          <w:kern w:val="0"/>
          <w:sz w:val="24"/>
          <w:szCs w:val="28"/>
        </w:rPr>
      </w:pPr>
      <w:bookmarkStart w:id="449" w:name="_Toc500401614"/>
      <w:bookmarkStart w:id="450" w:name="_Toc500487339"/>
      <w:bookmarkStart w:id="451" w:name="_Toc509302762"/>
      <w:bookmarkStart w:id="452" w:name="_Toc524953740"/>
      <w:bookmarkStart w:id="453" w:name="_Toc10105730"/>
      <w:r>
        <w:rPr>
          <w:rFonts w:eastAsia="黑体"/>
          <w:b/>
          <w:snapToGrid w:val="0"/>
          <w:spacing w:val="4"/>
          <w:kern w:val="0"/>
          <w:sz w:val="24"/>
          <w:szCs w:val="28"/>
        </w:rPr>
        <w:t>12.</w:t>
      </w:r>
      <w:r>
        <w:rPr>
          <w:rFonts w:hint="eastAsia" w:eastAsia="黑体"/>
          <w:b/>
          <w:snapToGrid w:val="0"/>
          <w:spacing w:val="4"/>
          <w:kern w:val="0"/>
          <w:sz w:val="24"/>
          <w:szCs w:val="28"/>
        </w:rPr>
        <w:t>2</w:t>
      </w:r>
      <w:r>
        <w:rPr>
          <w:rFonts w:eastAsia="黑体"/>
          <w:b/>
          <w:snapToGrid w:val="0"/>
          <w:spacing w:val="4"/>
          <w:kern w:val="0"/>
          <w:sz w:val="24"/>
          <w:szCs w:val="28"/>
        </w:rPr>
        <w:t xml:space="preserve">.1 </w:t>
      </w:r>
      <w:r>
        <w:rPr>
          <w:rFonts w:hint="eastAsia" w:eastAsia="黑体"/>
          <w:b/>
          <w:snapToGrid w:val="0"/>
          <w:spacing w:val="4"/>
          <w:kern w:val="0"/>
          <w:sz w:val="24"/>
          <w:szCs w:val="28"/>
        </w:rPr>
        <w:t>目的和范围</w:t>
      </w:r>
      <w:bookmarkEnd w:id="449"/>
      <w:bookmarkEnd w:id="450"/>
      <w:bookmarkEnd w:id="451"/>
      <w:bookmarkEnd w:id="452"/>
      <w:bookmarkEnd w:id="453"/>
    </w:p>
    <w:p>
      <w:pPr>
        <w:spacing w:line="440" w:lineRule="exact"/>
        <w:ind w:firstLine="480" w:firstLineChars="200"/>
        <w:rPr>
          <w:sz w:val="24"/>
        </w:rPr>
      </w:pPr>
      <w:r>
        <w:rPr>
          <w:rFonts w:hint="eastAsia"/>
          <w:sz w:val="24"/>
        </w:rPr>
        <w:t>为提高应急人员的技术水平与救援队伍的整体能力，以便在事故救援行动中达到快速、有序、有效，定期开展应急救援培训。旨在锻炼和提高队伍在遇到突发环境事件时能够快速抢险堵源，及时营救伤员，正确指导和帮助人员防护或撤离，有效消除危害后果，开展现场急救和伤员转送等应急救援技能和提高应急反应综合素质，有效降低事故危害，减少事故损失。</w:t>
      </w:r>
    </w:p>
    <w:p>
      <w:pPr>
        <w:spacing w:line="440" w:lineRule="exact"/>
        <w:ind w:firstLine="480" w:firstLineChars="200"/>
        <w:rPr>
          <w:sz w:val="24"/>
        </w:rPr>
      </w:pPr>
      <w:r>
        <w:rPr>
          <w:rFonts w:hint="eastAsia"/>
          <w:sz w:val="24"/>
        </w:rPr>
        <w:t>办公室负责组织、实施应急预案的培训工作。根据预案实施情况制定培训计划，采取多种形式对应急人员、员工与公众进行法律法规、应急知识和技能的宣传与培训。培训需做好记录和评估工作。</w:t>
      </w:r>
    </w:p>
    <w:p>
      <w:pPr>
        <w:spacing w:line="440" w:lineRule="exact"/>
        <w:outlineLvl w:val="2"/>
        <w:rPr>
          <w:rFonts w:eastAsia="黑体"/>
          <w:b/>
          <w:snapToGrid w:val="0"/>
          <w:spacing w:val="4"/>
          <w:kern w:val="0"/>
          <w:sz w:val="24"/>
          <w:szCs w:val="28"/>
        </w:rPr>
      </w:pPr>
      <w:bookmarkStart w:id="454" w:name="_Toc500401615"/>
      <w:bookmarkStart w:id="455" w:name="_Toc500487340"/>
      <w:bookmarkStart w:id="456" w:name="_Toc509302763"/>
      <w:bookmarkStart w:id="457" w:name="_Toc524953741"/>
      <w:bookmarkStart w:id="458" w:name="_Toc10105731"/>
      <w:r>
        <w:rPr>
          <w:rFonts w:eastAsia="黑体"/>
          <w:b/>
          <w:snapToGrid w:val="0"/>
          <w:spacing w:val="4"/>
          <w:kern w:val="0"/>
          <w:sz w:val="24"/>
          <w:szCs w:val="28"/>
        </w:rPr>
        <w:t>12.</w:t>
      </w:r>
      <w:r>
        <w:rPr>
          <w:rFonts w:hint="eastAsia" w:eastAsia="黑体"/>
          <w:b/>
          <w:snapToGrid w:val="0"/>
          <w:spacing w:val="4"/>
          <w:kern w:val="0"/>
          <w:sz w:val="24"/>
          <w:szCs w:val="28"/>
        </w:rPr>
        <w:t>2</w:t>
      </w:r>
      <w:r>
        <w:rPr>
          <w:rFonts w:eastAsia="黑体"/>
          <w:b/>
          <w:snapToGrid w:val="0"/>
          <w:spacing w:val="4"/>
          <w:kern w:val="0"/>
          <w:sz w:val="24"/>
          <w:szCs w:val="28"/>
        </w:rPr>
        <w:t>.</w:t>
      </w:r>
      <w:r>
        <w:rPr>
          <w:rFonts w:hint="eastAsia" w:eastAsia="黑体"/>
          <w:b/>
          <w:snapToGrid w:val="0"/>
          <w:spacing w:val="4"/>
          <w:kern w:val="0"/>
          <w:sz w:val="24"/>
          <w:szCs w:val="28"/>
        </w:rPr>
        <w:t>2</w:t>
      </w:r>
      <w:r>
        <w:rPr>
          <w:rFonts w:eastAsia="黑体"/>
          <w:b/>
          <w:snapToGrid w:val="0"/>
          <w:spacing w:val="4"/>
          <w:kern w:val="0"/>
          <w:sz w:val="24"/>
          <w:szCs w:val="28"/>
        </w:rPr>
        <w:t xml:space="preserve"> </w:t>
      </w:r>
      <w:r>
        <w:rPr>
          <w:rFonts w:hint="eastAsia" w:eastAsia="黑体"/>
          <w:b/>
          <w:snapToGrid w:val="0"/>
          <w:spacing w:val="4"/>
          <w:kern w:val="0"/>
          <w:sz w:val="24"/>
          <w:szCs w:val="28"/>
        </w:rPr>
        <w:t>信息宣传</w:t>
      </w:r>
      <w:bookmarkEnd w:id="454"/>
      <w:bookmarkEnd w:id="455"/>
      <w:bookmarkEnd w:id="456"/>
      <w:bookmarkEnd w:id="457"/>
      <w:bookmarkEnd w:id="458"/>
    </w:p>
    <w:p>
      <w:pPr>
        <w:spacing w:line="440" w:lineRule="exact"/>
        <w:ind w:firstLine="480" w:firstLineChars="200"/>
        <w:rPr>
          <w:sz w:val="24"/>
        </w:rPr>
      </w:pPr>
      <w:r>
        <w:rPr>
          <w:rFonts w:hint="eastAsia"/>
          <w:sz w:val="24"/>
        </w:rPr>
        <w:t>企业应按照突发环境事件的特性，采取适当方式向周边群众宣讲可能造成的危害，广泛宣传相关法律法规、应急防护知识等。</w:t>
      </w:r>
    </w:p>
    <w:p>
      <w:pPr>
        <w:spacing w:line="440" w:lineRule="exact"/>
        <w:outlineLvl w:val="2"/>
        <w:rPr>
          <w:rFonts w:eastAsia="黑体"/>
          <w:b/>
          <w:snapToGrid w:val="0"/>
          <w:spacing w:val="4"/>
          <w:kern w:val="0"/>
          <w:sz w:val="24"/>
          <w:szCs w:val="28"/>
        </w:rPr>
      </w:pPr>
      <w:bookmarkStart w:id="459" w:name="_Toc500401616"/>
      <w:bookmarkStart w:id="460" w:name="_Toc500487341"/>
      <w:bookmarkStart w:id="461" w:name="_Toc509302764"/>
      <w:bookmarkStart w:id="462" w:name="_Toc524953742"/>
      <w:bookmarkStart w:id="463" w:name="_Toc10105732"/>
      <w:r>
        <w:rPr>
          <w:rFonts w:eastAsia="黑体"/>
          <w:b/>
          <w:snapToGrid w:val="0"/>
          <w:spacing w:val="4"/>
          <w:kern w:val="0"/>
          <w:sz w:val="24"/>
          <w:szCs w:val="28"/>
        </w:rPr>
        <w:t>12.</w:t>
      </w:r>
      <w:r>
        <w:rPr>
          <w:rFonts w:hint="eastAsia" w:eastAsia="黑体"/>
          <w:b/>
          <w:snapToGrid w:val="0"/>
          <w:spacing w:val="4"/>
          <w:kern w:val="0"/>
          <w:sz w:val="24"/>
          <w:szCs w:val="28"/>
        </w:rPr>
        <w:t>2</w:t>
      </w:r>
      <w:r>
        <w:rPr>
          <w:rFonts w:eastAsia="黑体"/>
          <w:b/>
          <w:snapToGrid w:val="0"/>
          <w:spacing w:val="4"/>
          <w:kern w:val="0"/>
          <w:sz w:val="24"/>
          <w:szCs w:val="28"/>
        </w:rPr>
        <w:t>.</w:t>
      </w:r>
      <w:r>
        <w:rPr>
          <w:rFonts w:hint="eastAsia" w:eastAsia="黑体"/>
          <w:b/>
          <w:snapToGrid w:val="0"/>
          <w:spacing w:val="4"/>
          <w:kern w:val="0"/>
          <w:sz w:val="24"/>
          <w:szCs w:val="28"/>
        </w:rPr>
        <w:t>3</w:t>
      </w:r>
      <w:r>
        <w:rPr>
          <w:rFonts w:eastAsia="黑体"/>
          <w:b/>
          <w:snapToGrid w:val="0"/>
          <w:spacing w:val="4"/>
          <w:kern w:val="0"/>
          <w:sz w:val="24"/>
          <w:szCs w:val="28"/>
        </w:rPr>
        <w:t xml:space="preserve"> </w:t>
      </w:r>
      <w:r>
        <w:rPr>
          <w:rFonts w:hint="eastAsia" w:eastAsia="黑体"/>
          <w:b/>
          <w:snapToGrid w:val="0"/>
          <w:spacing w:val="4"/>
          <w:kern w:val="0"/>
          <w:sz w:val="24"/>
          <w:szCs w:val="28"/>
        </w:rPr>
        <w:t>应急人员培训</w:t>
      </w:r>
      <w:bookmarkEnd w:id="459"/>
      <w:bookmarkEnd w:id="460"/>
      <w:bookmarkEnd w:id="461"/>
      <w:bookmarkEnd w:id="462"/>
      <w:bookmarkEnd w:id="463"/>
    </w:p>
    <w:p>
      <w:pPr>
        <w:spacing w:line="440" w:lineRule="exact"/>
        <w:ind w:firstLine="480" w:firstLineChars="200"/>
        <w:rPr>
          <w:sz w:val="24"/>
        </w:rPr>
      </w:pPr>
      <w:r>
        <w:rPr>
          <w:rFonts w:hint="eastAsia"/>
          <w:sz w:val="24"/>
        </w:rPr>
        <w:t>培训内容包括</w:t>
      </w:r>
    </w:p>
    <w:p>
      <w:pPr>
        <w:spacing w:line="440" w:lineRule="exact"/>
        <w:ind w:firstLine="480" w:firstLineChars="200"/>
        <w:rPr>
          <w:sz w:val="24"/>
        </w:rPr>
      </w:pPr>
      <w:r>
        <w:rPr>
          <w:rFonts w:hint="eastAsia"/>
          <w:sz w:val="24"/>
        </w:rPr>
        <w:t>（1）风险目标分布与事故风险；</w:t>
      </w:r>
    </w:p>
    <w:p>
      <w:pPr>
        <w:spacing w:line="440" w:lineRule="exact"/>
        <w:ind w:firstLine="480" w:firstLineChars="200"/>
        <w:rPr>
          <w:sz w:val="24"/>
        </w:rPr>
      </w:pPr>
      <w:r>
        <w:rPr>
          <w:rFonts w:hint="eastAsia"/>
          <w:sz w:val="24"/>
        </w:rPr>
        <w:t>（2）事故报警与报告程序、方式；</w:t>
      </w:r>
    </w:p>
    <w:p>
      <w:pPr>
        <w:spacing w:line="440" w:lineRule="exact"/>
        <w:ind w:firstLine="480" w:firstLineChars="200"/>
        <w:rPr>
          <w:sz w:val="24"/>
        </w:rPr>
      </w:pPr>
      <w:r>
        <w:rPr>
          <w:rFonts w:hint="eastAsia"/>
          <w:sz w:val="24"/>
        </w:rPr>
        <w:t>（3）泄漏、火灾等事故的抢险处置措施。</w:t>
      </w:r>
    </w:p>
    <w:p>
      <w:pPr>
        <w:spacing w:line="440" w:lineRule="exact"/>
        <w:ind w:firstLine="480" w:firstLineChars="200"/>
        <w:rPr>
          <w:sz w:val="24"/>
        </w:rPr>
      </w:pPr>
      <w:r>
        <w:rPr>
          <w:rFonts w:hint="eastAsia"/>
          <w:sz w:val="24"/>
        </w:rPr>
        <w:t>（4）各种应急设备设施及防护用品的使用；</w:t>
      </w:r>
    </w:p>
    <w:p>
      <w:pPr>
        <w:spacing w:line="440" w:lineRule="exact"/>
        <w:ind w:firstLine="480" w:firstLineChars="200"/>
        <w:rPr>
          <w:sz w:val="24"/>
        </w:rPr>
      </w:pPr>
      <w:r>
        <w:rPr>
          <w:rFonts w:hint="eastAsia"/>
          <w:sz w:val="24"/>
        </w:rPr>
        <w:t>（5）应急疏散程序与事故现场的保护；</w:t>
      </w:r>
    </w:p>
    <w:p>
      <w:pPr>
        <w:spacing w:line="440" w:lineRule="exact"/>
        <w:ind w:firstLine="480" w:firstLineChars="200"/>
        <w:rPr>
          <w:sz w:val="24"/>
        </w:rPr>
      </w:pPr>
      <w:r>
        <w:rPr>
          <w:rFonts w:hint="eastAsia"/>
          <w:sz w:val="24"/>
        </w:rPr>
        <w:t>（6）医疗急救知识与技能。</w:t>
      </w:r>
    </w:p>
    <w:p>
      <w:pPr>
        <w:spacing w:line="440" w:lineRule="exact"/>
        <w:outlineLvl w:val="2"/>
        <w:rPr>
          <w:rFonts w:eastAsia="黑体"/>
          <w:b/>
          <w:snapToGrid w:val="0"/>
          <w:spacing w:val="4"/>
          <w:kern w:val="0"/>
          <w:sz w:val="24"/>
          <w:szCs w:val="28"/>
        </w:rPr>
      </w:pPr>
      <w:bookmarkStart w:id="464" w:name="_Toc500401617"/>
      <w:bookmarkStart w:id="465" w:name="_Toc500487342"/>
      <w:bookmarkStart w:id="466" w:name="_Toc509302765"/>
      <w:bookmarkStart w:id="467" w:name="_Toc524953743"/>
      <w:bookmarkStart w:id="468" w:name="_Toc10105733"/>
      <w:r>
        <w:rPr>
          <w:rFonts w:eastAsia="黑体"/>
          <w:b/>
          <w:snapToGrid w:val="0"/>
          <w:spacing w:val="4"/>
          <w:kern w:val="0"/>
          <w:sz w:val="24"/>
          <w:szCs w:val="28"/>
        </w:rPr>
        <w:t>12.</w:t>
      </w:r>
      <w:r>
        <w:rPr>
          <w:rFonts w:hint="eastAsia" w:eastAsia="黑体"/>
          <w:b/>
          <w:snapToGrid w:val="0"/>
          <w:spacing w:val="4"/>
          <w:kern w:val="0"/>
          <w:sz w:val="24"/>
          <w:szCs w:val="28"/>
        </w:rPr>
        <w:t>2</w:t>
      </w:r>
      <w:r>
        <w:rPr>
          <w:rFonts w:eastAsia="黑体"/>
          <w:b/>
          <w:snapToGrid w:val="0"/>
          <w:spacing w:val="4"/>
          <w:kern w:val="0"/>
          <w:sz w:val="24"/>
          <w:szCs w:val="28"/>
        </w:rPr>
        <w:t>.</w:t>
      </w:r>
      <w:r>
        <w:rPr>
          <w:rFonts w:hint="eastAsia" w:eastAsia="黑体"/>
          <w:b/>
          <w:snapToGrid w:val="0"/>
          <w:spacing w:val="4"/>
          <w:kern w:val="0"/>
          <w:sz w:val="24"/>
          <w:szCs w:val="28"/>
        </w:rPr>
        <w:t>4</w:t>
      </w:r>
      <w:r>
        <w:rPr>
          <w:rFonts w:eastAsia="黑体"/>
          <w:b/>
          <w:snapToGrid w:val="0"/>
          <w:spacing w:val="4"/>
          <w:kern w:val="0"/>
          <w:sz w:val="24"/>
          <w:szCs w:val="28"/>
        </w:rPr>
        <w:t xml:space="preserve"> </w:t>
      </w:r>
      <w:r>
        <w:rPr>
          <w:rFonts w:hint="eastAsia" w:eastAsia="黑体"/>
          <w:b/>
          <w:snapToGrid w:val="0"/>
          <w:spacing w:val="4"/>
          <w:kern w:val="0"/>
          <w:sz w:val="24"/>
          <w:szCs w:val="28"/>
        </w:rPr>
        <w:t>员工与公众培训</w:t>
      </w:r>
      <w:bookmarkEnd w:id="464"/>
      <w:bookmarkEnd w:id="465"/>
      <w:bookmarkEnd w:id="466"/>
      <w:bookmarkEnd w:id="467"/>
      <w:bookmarkEnd w:id="468"/>
    </w:p>
    <w:p>
      <w:pPr>
        <w:spacing w:line="440" w:lineRule="exact"/>
        <w:ind w:firstLine="480" w:firstLineChars="200"/>
        <w:rPr>
          <w:sz w:val="24"/>
        </w:rPr>
      </w:pPr>
      <w:r>
        <w:rPr>
          <w:rFonts w:hint="eastAsia"/>
          <w:sz w:val="24"/>
        </w:rPr>
        <w:t>培训内容包括：</w:t>
      </w:r>
    </w:p>
    <w:p>
      <w:pPr>
        <w:spacing w:line="440" w:lineRule="exact"/>
        <w:ind w:firstLine="480" w:firstLineChars="200"/>
        <w:rPr>
          <w:sz w:val="24"/>
        </w:rPr>
      </w:pPr>
      <w:r>
        <w:rPr>
          <w:rFonts w:hint="eastAsia"/>
          <w:sz w:val="24"/>
        </w:rPr>
        <w:t>（1）可能发生的事故及其后果；</w:t>
      </w:r>
    </w:p>
    <w:p>
      <w:pPr>
        <w:spacing w:line="440" w:lineRule="exact"/>
        <w:ind w:firstLine="480" w:firstLineChars="200"/>
        <w:rPr>
          <w:sz w:val="24"/>
        </w:rPr>
      </w:pPr>
      <w:r>
        <w:rPr>
          <w:rFonts w:hint="eastAsia"/>
          <w:sz w:val="24"/>
        </w:rPr>
        <w:t>（2）事故报警与报告；</w:t>
      </w:r>
    </w:p>
    <w:p>
      <w:pPr>
        <w:spacing w:line="440" w:lineRule="exact"/>
        <w:ind w:firstLine="480" w:firstLineChars="200"/>
        <w:rPr>
          <w:sz w:val="24"/>
        </w:rPr>
      </w:pPr>
      <w:r>
        <w:rPr>
          <w:rFonts w:hint="eastAsia"/>
          <w:sz w:val="24"/>
        </w:rPr>
        <w:t>（3）泄漏处置基本防护知识；</w:t>
      </w:r>
    </w:p>
    <w:p>
      <w:pPr>
        <w:spacing w:line="440" w:lineRule="exact"/>
        <w:ind w:firstLine="480" w:firstLineChars="200"/>
        <w:rPr>
          <w:sz w:val="24"/>
        </w:rPr>
      </w:pPr>
      <w:r>
        <w:rPr>
          <w:rFonts w:hint="eastAsia"/>
          <w:sz w:val="24"/>
        </w:rPr>
        <w:t>（4）疏散撤离的组织、方法和程序；</w:t>
      </w:r>
    </w:p>
    <w:p>
      <w:pPr>
        <w:spacing w:line="440" w:lineRule="exact"/>
        <w:ind w:firstLine="480" w:firstLineChars="200"/>
        <w:rPr>
          <w:sz w:val="24"/>
        </w:rPr>
      </w:pPr>
      <w:r>
        <w:rPr>
          <w:rFonts w:hint="eastAsia"/>
          <w:sz w:val="24"/>
        </w:rPr>
        <w:t>（5）自救与互救的基本常识。</w:t>
      </w:r>
    </w:p>
    <w:p>
      <w:pPr>
        <w:spacing w:line="440" w:lineRule="exact"/>
        <w:outlineLvl w:val="2"/>
        <w:rPr>
          <w:rFonts w:eastAsia="黑体"/>
          <w:b/>
          <w:snapToGrid w:val="0"/>
          <w:spacing w:val="4"/>
          <w:kern w:val="0"/>
          <w:sz w:val="24"/>
          <w:szCs w:val="28"/>
        </w:rPr>
      </w:pPr>
      <w:bookmarkStart w:id="469" w:name="_Toc500401618"/>
      <w:bookmarkStart w:id="470" w:name="_Toc500487343"/>
      <w:bookmarkStart w:id="471" w:name="_Toc509302766"/>
      <w:bookmarkStart w:id="472" w:name="_Toc524953744"/>
      <w:bookmarkStart w:id="473" w:name="_Toc10105734"/>
      <w:r>
        <w:rPr>
          <w:rFonts w:eastAsia="黑体"/>
          <w:b/>
          <w:snapToGrid w:val="0"/>
          <w:spacing w:val="4"/>
          <w:kern w:val="0"/>
          <w:sz w:val="24"/>
          <w:szCs w:val="28"/>
        </w:rPr>
        <w:t>12.</w:t>
      </w:r>
      <w:r>
        <w:rPr>
          <w:rFonts w:hint="eastAsia" w:eastAsia="黑体"/>
          <w:b/>
          <w:snapToGrid w:val="0"/>
          <w:spacing w:val="4"/>
          <w:kern w:val="0"/>
          <w:sz w:val="24"/>
          <w:szCs w:val="28"/>
        </w:rPr>
        <w:t>2</w:t>
      </w:r>
      <w:r>
        <w:rPr>
          <w:rFonts w:eastAsia="黑体"/>
          <w:b/>
          <w:snapToGrid w:val="0"/>
          <w:spacing w:val="4"/>
          <w:kern w:val="0"/>
          <w:sz w:val="24"/>
          <w:szCs w:val="28"/>
        </w:rPr>
        <w:t>.</w:t>
      </w:r>
      <w:r>
        <w:rPr>
          <w:rFonts w:hint="eastAsia" w:eastAsia="黑体"/>
          <w:b/>
          <w:snapToGrid w:val="0"/>
          <w:spacing w:val="4"/>
          <w:kern w:val="0"/>
          <w:sz w:val="24"/>
          <w:szCs w:val="28"/>
        </w:rPr>
        <w:t>5</w:t>
      </w:r>
      <w:r>
        <w:rPr>
          <w:rFonts w:eastAsia="黑体"/>
          <w:b/>
          <w:snapToGrid w:val="0"/>
          <w:spacing w:val="4"/>
          <w:kern w:val="0"/>
          <w:sz w:val="24"/>
          <w:szCs w:val="28"/>
        </w:rPr>
        <w:t xml:space="preserve"> </w:t>
      </w:r>
      <w:r>
        <w:rPr>
          <w:rFonts w:hint="eastAsia" w:eastAsia="黑体"/>
          <w:b/>
          <w:snapToGrid w:val="0"/>
          <w:spacing w:val="4"/>
          <w:kern w:val="0"/>
          <w:sz w:val="24"/>
          <w:szCs w:val="28"/>
        </w:rPr>
        <w:t>培训要求</w:t>
      </w:r>
      <w:bookmarkEnd w:id="469"/>
      <w:bookmarkEnd w:id="470"/>
      <w:bookmarkEnd w:id="471"/>
      <w:bookmarkEnd w:id="472"/>
      <w:bookmarkEnd w:id="473"/>
    </w:p>
    <w:p>
      <w:pPr>
        <w:spacing w:line="440" w:lineRule="exact"/>
        <w:ind w:firstLine="480" w:firstLineChars="200"/>
        <w:rPr>
          <w:sz w:val="24"/>
        </w:rPr>
      </w:pPr>
      <w:r>
        <w:rPr>
          <w:rFonts w:hint="eastAsia"/>
          <w:sz w:val="24"/>
        </w:rPr>
        <w:t>（1）针对性：针对可能发生的事故及承担的应急职责不同，对不同的人员予以不同的培训内容；</w:t>
      </w:r>
    </w:p>
    <w:p>
      <w:pPr>
        <w:spacing w:line="440" w:lineRule="exact"/>
        <w:ind w:firstLine="480" w:firstLineChars="200"/>
        <w:rPr>
          <w:sz w:val="24"/>
        </w:rPr>
      </w:pPr>
      <w:r>
        <w:rPr>
          <w:rFonts w:hint="eastAsia"/>
          <w:sz w:val="24"/>
        </w:rPr>
        <w:t>（2）周期性：每年至少组织一次培训；</w:t>
      </w:r>
    </w:p>
    <w:p>
      <w:pPr>
        <w:spacing w:line="440" w:lineRule="exact"/>
        <w:ind w:firstLine="480" w:firstLineChars="200"/>
        <w:rPr>
          <w:sz w:val="24"/>
        </w:rPr>
      </w:pPr>
      <w:r>
        <w:rPr>
          <w:rFonts w:hint="eastAsia"/>
          <w:sz w:val="24"/>
        </w:rPr>
        <w:t>（3）实战性：培训需贴近实际应急活动。</w:t>
      </w:r>
    </w:p>
    <w:p>
      <w:pPr>
        <w:spacing w:before="60" w:after="60" w:line="500" w:lineRule="exact"/>
        <w:outlineLvl w:val="1"/>
        <w:rPr>
          <w:rFonts w:eastAsia="黑体"/>
          <w:b/>
          <w:snapToGrid w:val="0"/>
          <w:spacing w:val="4"/>
          <w:kern w:val="0"/>
          <w:sz w:val="28"/>
          <w:szCs w:val="30"/>
        </w:rPr>
      </w:pPr>
      <w:bookmarkStart w:id="474" w:name="_Toc500401619"/>
      <w:bookmarkStart w:id="475" w:name="_Toc10105735"/>
      <w:r>
        <w:rPr>
          <w:rFonts w:eastAsia="黑体"/>
          <w:b/>
          <w:snapToGrid w:val="0"/>
          <w:spacing w:val="4"/>
          <w:kern w:val="0"/>
          <w:sz w:val="28"/>
          <w:szCs w:val="30"/>
        </w:rPr>
        <w:t>1</w:t>
      </w:r>
      <w:r>
        <w:rPr>
          <w:rFonts w:hint="eastAsia" w:eastAsia="黑体"/>
          <w:b/>
          <w:snapToGrid w:val="0"/>
          <w:spacing w:val="4"/>
          <w:kern w:val="0"/>
          <w:sz w:val="28"/>
          <w:szCs w:val="30"/>
        </w:rPr>
        <w:t>2</w:t>
      </w:r>
      <w:r>
        <w:rPr>
          <w:rFonts w:eastAsia="黑体"/>
          <w:b/>
          <w:snapToGrid w:val="0"/>
          <w:spacing w:val="4"/>
          <w:kern w:val="0"/>
          <w:sz w:val="28"/>
          <w:szCs w:val="30"/>
        </w:rPr>
        <w:t>.3责任与奖惩</w:t>
      </w:r>
      <w:bookmarkEnd w:id="429"/>
      <w:bookmarkEnd w:id="430"/>
      <w:bookmarkEnd w:id="474"/>
      <w:bookmarkEnd w:id="475"/>
    </w:p>
    <w:p>
      <w:pPr>
        <w:spacing w:line="440" w:lineRule="exact"/>
        <w:outlineLvl w:val="2"/>
        <w:rPr>
          <w:rFonts w:eastAsia="黑体"/>
          <w:b/>
          <w:snapToGrid w:val="0"/>
          <w:spacing w:val="4"/>
          <w:kern w:val="0"/>
          <w:sz w:val="24"/>
          <w:szCs w:val="28"/>
        </w:rPr>
      </w:pPr>
      <w:bookmarkStart w:id="476" w:name="_Toc306266699"/>
      <w:bookmarkStart w:id="477" w:name="_Toc307328017"/>
      <w:bookmarkStart w:id="478" w:name="_Toc313023250"/>
      <w:bookmarkStart w:id="479" w:name="_Toc465957532"/>
      <w:bookmarkStart w:id="480" w:name="_Toc469746255"/>
      <w:bookmarkStart w:id="481" w:name="_Toc470161990"/>
      <w:bookmarkStart w:id="482" w:name="_Toc484164043"/>
      <w:bookmarkStart w:id="483" w:name="_Toc497226268"/>
      <w:bookmarkStart w:id="484" w:name="_Toc500401620"/>
      <w:bookmarkStart w:id="485" w:name="_Toc500487345"/>
      <w:bookmarkStart w:id="486" w:name="_Toc509302768"/>
      <w:bookmarkStart w:id="487" w:name="_Toc524953746"/>
      <w:bookmarkStart w:id="488" w:name="_Toc10105736"/>
      <w:bookmarkStart w:id="489" w:name="_Toc332613489"/>
      <w:bookmarkStart w:id="490" w:name="_Toc332614057"/>
      <w:r>
        <w:rPr>
          <w:rFonts w:eastAsia="黑体"/>
          <w:b/>
          <w:snapToGrid w:val="0"/>
          <w:spacing w:val="4"/>
          <w:kern w:val="0"/>
          <w:sz w:val="24"/>
          <w:szCs w:val="28"/>
        </w:rPr>
        <w:t>1</w:t>
      </w:r>
      <w:r>
        <w:rPr>
          <w:rFonts w:hint="eastAsia" w:eastAsia="黑体"/>
          <w:b/>
          <w:snapToGrid w:val="0"/>
          <w:spacing w:val="4"/>
          <w:kern w:val="0"/>
          <w:sz w:val="24"/>
          <w:szCs w:val="28"/>
        </w:rPr>
        <w:t>2</w:t>
      </w:r>
      <w:r>
        <w:rPr>
          <w:rFonts w:eastAsia="黑体"/>
          <w:b/>
          <w:snapToGrid w:val="0"/>
          <w:spacing w:val="4"/>
          <w:kern w:val="0"/>
          <w:sz w:val="24"/>
          <w:szCs w:val="28"/>
        </w:rPr>
        <w:t>.3.1 责任</w:t>
      </w:r>
      <w:bookmarkEnd w:id="476"/>
      <w:bookmarkEnd w:id="477"/>
      <w:bookmarkEnd w:id="478"/>
      <w:bookmarkEnd w:id="479"/>
      <w:bookmarkEnd w:id="480"/>
      <w:bookmarkEnd w:id="481"/>
      <w:bookmarkEnd w:id="482"/>
      <w:bookmarkEnd w:id="483"/>
      <w:bookmarkEnd w:id="484"/>
      <w:bookmarkEnd w:id="485"/>
      <w:bookmarkEnd w:id="486"/>
      <w:bookmarkEnd w:id="487"/>
      <w:bookmarkEnd w:id="488"/>
    </w:p>
    <w:p>
      <w:pPr>
        <w:spacing w:line="440" w:lineRule="exact"/>
        <w:ind w:firstLine="480" w:firstLineChars="200"/>
        <w:rPr>
          <w:color w:val="000000"/>
          <w:sz w:val="24"/>
        </w:rPr>
      </w:pPr>
      <w:r>
        <w:rPr>
          <w:rFonts w:hint="eastAsia"/>
          <w:color w:val="000000"/>
          <w:sz w:val="24"/>
        </w:rPr>
        <w:t>企业</w:t>
      </w:r>
      <w:r>
        <w:rPr>
          <w:color w:val="000000"/>
          <w:sz w:val="24"/>
        </w:rPr>
        <w:t>应急处置工作实行行政领导责任制和责任追究制。</w:t>
      </w:r>
    </w:p>
    <w:p>
      <w:pPr>
        <w:spacing w:line="440" w:lineRule="exact"/>
        <w:outlineLvl w:val="2"/>
        <w:rPr>
          <w:rFonts w:eastAsia="黑体"/>
          <w:b/>
          <w:snapToGrid w:val="0"/>
          <w:spacing w:val="4"/>
          <w:kern w:val="0"/>
          <w:sz w:val="24"/>
          <w:szCs w:val="28"/>
        </w:rPr>
      </w:pPr>
      <w:bookmarkStart w:id="491" w:name="_Toc484164044"/>
      <w:bookmarkStart w:id="492" w:name="_Toc500401621"/>
      <w:bookmarkStart w:id="493" w:name="_Toc509302769"/>
      <w:bookmarkStart w:id="494" w:name="_Toc500487346"/>
      <w:bookmarkStart w:id="495" w:name="_Toc10105737"/>
      <w:bookmarkStart w:id="496" w:name="_Toc497226269"/>
      <w:bookmarkStart w:id="497" w:name="_Toc524953747"/>
      <w:bookmarkStart w:id="498" w:name="_Toc465957533"/>
      <w:bookmarkStart w:id="499" w:name="_Toc470161991"/>
      <w:bookmarkStart w:id="500" w:name="_Toc307328018"/>
      <w:bookmarkStart w:id="501" w:name="_Toc313023251"/>
      <w:bookmarkStart w:id="502" w:name="_Toc306266700"/>
      <w:bookmarkStart w:id="503" w:name="_Toc469746256"/>
      <w:r>
        <w:rPr>
          <w:rFonts w:eastAsia="黑体"/>
          <w:b/>
          <w:snapToGrid w:val="0"/>
          <w:spacing w:val="4"/>
          <w:kern w:val="0"/>
          <w:sz w:val="24"/>
          <w:szCs w:val="28"/>
        </w:rPr>
        <w:t>1</w:t>
      </w:r>
      <w:r>
        <w:rPr>
          <w:rFonts w:hint="eastAsia" w:eastAsia="黑体"/>
          <w:b/>
          <w:snapToGrid w:val="0"/>
          <w:spacing w:val="4"/>
          <w:kern w:val="0"/>
          <w:sz w:val="24"/>
          <w:szCs w:val="28"/>
        </w:rPr>
        <w:t>2</w:t>
      </w:r>
      <w:r>
        <w:rPr>
          <w:rFonts w:eastAsia="黑体"/>
          <w:b/>
          <w:snapToGrid w:val="0"/>
          <w:spacing w:val="4"/>
          <w:kern w:val="0"/>
          <w:sz w:val="24"/>
          <w:szCs w:val="28"/>
        </w:rPr>
        <w:t>.3.2 奖励</w:t>
      </w:r>
      <w:bookmarkEnd w:id="491"/>
      <w:bookmarkEnd w:id="492"/>
      <w:bookmarkEnd w:id="493"/>
      <w:bookmarkEnd w:id="494"/>
      <w:bookmarkEnd w:id="495"/>
      <w:bookmarkEnd w:id="496"/>
      <w:bookmarkEnd w:id="497"/>
      <w:bookmarkEnd w:id="498"/>
      <w:bookmarkEnd w:id="499"/>
      <w:bookmarkEnd w:id="500"/>
      <w:bookmarkEnd w:id="501"/>
      <w:bookmarkEnd w:id="502"/>
      <w:bookmarkEnd w:id="503"/>
    </w:p>
    <w:p>
      <w:pPr>
        <w:spacing w:line="440" w:lineRule="exact"/>
        <w:ind w:firstLine="480" w:firstLineChars="200"/>
        <w:rPr>
          <w:color w:val="000000"/>
          <w:sz w:val="24"/>
        </w:rPr>
      </w:pPr>
      <w:r>
        <w:rPr>
          <w:color w:val="000000"/>
          <w:sz w:val="24"/>
        </w:rPr>
        <w:t>在突发环境事件应急救援工作中有下列表现之一的单位和个人，应依据有关规定给予奖励：</w:t>
      </w:r>
    </w:p>
    <w:p>
      <w:pPr>
        <w:spacing w:line="440" w:lineRule="exact"/>
        <w:ind w:firstLine="480" w:firstLineChars="200"/>
        <w:rPr>
          <w:rFonts w:asciiTheme="minorEastAsia" w:hAnsiTheme="minorEastAsia" w:eastAsiaTheme="minorEastAsia"/>
          <w:color w:val="000000"/>
          <w:sz w:val="24"/>
        </w:rPr>
      </w:pPr>
      <w:r>
        <w:rPr>
          <w:rFonts w:asciiTheme="minorEastAsia" w:hAnsiTheme="minorEastAsia" w:eastAsiaTheme="minorEastAsia"/>
          <w:color w:val="000000"/>
          <w:sz w:val="24"/>
        </w:rPr>
        <w:t>(</w:t>
      </w:r>
      <w:r>
        <w:rPr>
          <w:rFonts w:eastAsiaTheme="minorEastAsia"/>
          <w:color w:val="000000"/>
          <w:sz w:val="24"/>
        </w:rPr>
        <w:t>1</w:t>
      </w:r>
      <w:r>
        <w:rPr>
          <w:rFonts w:asciiTheme="minorEastAsia" w:hAnsiTheme="minorEastAsia" w:eastAsiaTheme="minorEastAsia"/>
          <w:color w:val="000000"/>
          <w:sz w:val="24"/>
        </w:rPr>
        <w:t>)出色完成应急处置任务，成绩显著的；</w:t>
      </w:r>
    </w:p>
    <w:p>
      <w:pPr>
        <w:spacing w:line="440" w:lineRule="exact"/>
        <w:ind w:firstLine="480" w:firstLineChars="200"/>
        <w:rPr>
          <w:rFonts w:asciiTheme="minorEastAsia" w:hAnsiTheme="minorEastAsia" w:eastAsiaTheme="minorEastAsia"/>
          <w:color w:val="000000"/>
          <w:sz w:val="24"/>
        </w:rPr>
      </w:pPr>
      <w:r>
        <w:rPr>
          <w:rFonts w:asciiTheme="minorEastAsia" w:hAnsiTheme="minorEastAsia" w:eastAsiaTheme="minorEastAsia"/>
          <w:color w:val="000000"/>
          <w:sz w:val="24"/>
        </w:rPr>
        <w:t>(</w:t>
      </w:r>
      <w:r>
        <w:rPr>
          <w:rFonts w:eastAsiaTheme="minorEastAsia"/>
          <w:color w:val="000000"/>
          <w:sz w:val="24"/>
        </w:rPr>
        <w:t>2</w:t>
      </w:r>
      <w:r>
        <w:rPr>
          <w:rFonts w:asciiTheme="minorEastAsia" w:hAnsiTheme="minorEastAsia" w:eastAsiaTheme="minorEastAsia"/>
          <w:color w:val="000000"/>
          <w:sz w:val="24"/>
        </w:rPr>
        <w:t>)防止或抢救事故灾难有功，使企业、国家、集体和人民群众的财产免受损失或者减少损失的；</w:t>
      </w:r>
    </w:p>
    <w:p>
      <w:pPr>
        <w:spacing w:line="440" w:lineRule="exact"/>
        <w:ind w:firstLine="480" w:firstLineChars="200"/>
        <w:rPr>
          <w:rFonts w:asciiTheme="minorEastAsia" w:hAnsiTheme="minorEastAsia" w:eastAsiaTheme="minorEastAsia"/>
          <w:color w:val="000000"/>
          <w:sz w:val="24"/>
        </w:rPr>
      </w:pPr>
      <w:r>
        <w:rPr>
          <w:rFonts w:asciiTheme="minorEastAsia" w:hAnsiTheme="minorEastAsia" w:eastAsiaTheme="minorEastAsia"/>
          <w:color w:val="000000"/>
          <w:sz w:val="24"/>
        </w:rPr>
        <w:t>(</w:t>
      </w:r>
      <w:r>
        <w:rPr>
          <w:rFonts w:eastAsiaTheme="minorEastAsia"/>
          <w:color w:val="000000"/>
          <w:sz w:val="24"/>
        </w:rPr>
        <w:t>3</w:t>
      </w:r>
      <w:r>
        <w:rPr>
          <w:rFonts w:asciiTheme="minorEastAsia" w:hAnsiTheme="minorEastAsia" w:eastAsiaTheme="minorEastAsia"/>
          <w:color w:val="000000"/>
          <w:sz w:val="24"/>
        </w:rPr>
        <w:t>)对应急救援工作提出重大建议，实施效果显著的；</w:t>
      </w:r>
    </w:p>
    <w:p>
      <w:pPr>
        <w:spacing w:line="440" w:lineRule="exact"/>
        <w:ind w:firstLine="480" w:firstLineChars="200"/>
        <w:rPr>
          <w:rFonts w:asciiTheme="minorEastAsia" w:hAnsiTheme="minorEastAsia" w:eastAsiaTheme="minorEastAsia"/>
          <w:color w:val="000000"/>
          <w:sz w:val="24"/>
        </w:rPr>
      </w:pPr>
      <w:r>
        <w:rPr>
          <w:rFonts w:asciiTheme="minorEastAsia" w:hAnsiTheme="minorEastAsia" w:eastAsiaTheme="minorEastAsia"/>
          <w:color w:val="000000"/>
          <w:sz w:val="24"/>
        </w:rPr>
        <w:t>(</w:t>
      </w:r>
      <w:r>
        <w:rPr>
          <w:rFonts w:eastAsiaTheme="minorEastAsia"/>
          <w:color w:val="000000"/>
          <w:sz w:val="24"/>
        </w:rPr>
        <w:t>4</w:t>
      </w:r>
      <w:r>
        <w:rPr>
          <w:rFonts w:asciiTheme="minorEastAsia" w:hAnsiTheme="minorEastAsia" w:eastAsiaTheme="minorEastAsia"/>
          <w:color w:val="000000"/>
          <w:sz w:val="24"/>
        </w:rPr>
        <w:t>)有其它特殊贡献的。</w:t>
      </w:r>
    </w:p>
    <w:p>
      <w:pPr>
        <w:spacing w:line="440" w:lineRule="exact"/>
        <w:outlineLvl w:val="2"/>
        <w:rPr>
          <w:rFonts w:eastAsia="黑体"/>
          <w:b/>
          <w:snapToGrid w:val="0"/>
          <w:spacing w:val="4"/>
          <w:kern w:val="0"/>
          <w:sz w:val="24"/>
          <w:szCs w:val="28"/>
        </w:rPr>
      </w:pPr>
      <w:bookmarkStart w:id="504" w:name="_Toc509302770"/>
      <w:bookmarkStart w:id="505" w:name="_Toc484164045"/>
      <w:bookmarkStart w:id="506" w:name="_Toc524953748"/>
      <w:bookmarkStart w:id="507" w:name="_Toc469746257"/>
      <w:bookmarkStart w:id="508" w:name="_Toc313023252"/>
      <w:bookmarkStart w:id="509" w:name="_Toc465957534"/>
      <w:bookmarkStart w:id="510" w:name="_Toc10105738"/>
      <w:bookmarkStart w:id="511" w:name="_Toc307328019"/>
      <w:bookmarkStart w:id="512" w:name="_Toc497226270"/>
      <w:bookmarkStart w:id="513" w:name="_Toc500487347"/>
      <w:bookmarkStart w:id="514" w:name="_Toc470161992"/>
      <w:bookmarkStart w:id="515" w:name="_Toc500401622"/>
      <w:bookmarkStart w:id="516" w:name="_Toc306266701"/>
      <w:r>
        <w:rPr>
          <w:rFonts w:eastAsia="黑体"/>
          <w:b/>
          <w:snapToGrid w:val="0"/>
          <w:spacing w:val="4"/>
          <w:kern w:val="0"/>
          <w:sz w:val="24"/>
          <w:szCs w:val="28"/>
        </w:rPr>
        <w:t>1</w:t>
      </w:r>
      <w:r>
        <w:rPr>
          <w:rFonts w:hint="eastAsia" w:eastAsia="黑体"/>
          <w:b/>
          <w:snapToGrid w:val="0"/>
          <w:spacing w:val="4"/>
          <w:kern w:val="0"/>
          <w:sz w:val="24"/>
          <w:szCs w:val="28"/>
        </w:rPr>
        <w:t>2</w:t>
      </w:r>
      <w:r>
        <w:rPr>
          <w:rFonts w:eastAsia="黑体"/>
          <w:b/>
          <w:snapToGrid w:val="0"/>
          <w:spacing w:val="4"/>
          <w:kern w:val="0"/>
          <w:sz w:val="24"/>
          <w:szCs w:val="28"/>
        </w:rPr>
        <w:t>.3.3 惩罚</w:t>
      </w:r>
      <w:bookmarkEnd w:id="504"/>
      <w:bookmarkEnd w:id="505"/>
      <w:bookmarkEnd w:id="506"/>
      <w:bookmarkEnd w:id="507"/>
      <w:bookmarkEnd w:id="508"/>
      <w:bookmarkEnd w:id="509"/>
      <w:bookmarkEnd w:id="510"/>
      <w:bookmarkEnd w:id="511"/>
      <w:bookmarkEnd w:id="512"/>
      <w:bookmarkEnd w:id="513"/>
      <w:bookmarkEnd w:id="514"/>
      <w:bookmarkEnd w:id="515"/>
      <w:bookmarkEnd w:id="516"/>
    </w:p>
    <w:p>
      <w:pPr>
        <w:spacing w:line="440" w:lineRule="exact"/>
        <w:ind w:firstLine="480" w:firstLineChars="200"/>
        <w:rPr>
          <w:color w:val="000000"/>
          <w:sz w:val="24"/>
        </w:rPr>
      </w:pPr>
      <w:r>
        <w:rPr>
          <w:rFonts w:hint="eastAsia"/>
          <w:color w:val="000000"/>
          <w:sz w:val="24"/>
        </w:rPr>
        <w:t>企业</w:t>
      </w:r>
      <w:r>
        <w:rPr>
          <w:color w:val="000000"/>
          <w:sz w:val="24"/>
        </w:rPr>
        <w:t>应急救援工作实行行政领导责任制和责任追究制。在突发环境事件应急救援工作中有下列行为之一的，按照法律、法规及有关规定，对有关责任人员视情节和危害后果，由</w:t>
      </w:r>
      <w:r>
        <w:rPr>
          <w:rFonts w:hint="eastAsia"/>
          <w:color w:val="000000"/>
          <w:sz w:val="24"/>
        </w:rPr>
        <w:t>企业</w:t>
      </w:r>
      <w:r>
        <w:rPr>
          <w:color w:val="000000"/>
          <w:sz w:val="24"/>
        </w:rPr>
        <w:t>给予处分；其中，属于违反治安管理行为的，由公安机关依照有关法律法规的规定予以处罚；构成犯罪的，由司法机关依法追究刑事责任：</w:t>
      </w:r>
    </w:p>
    <w:p>
      <w:pPr>
        <w:spacing w:line="440" w:lineRule="exact"/>
        <w:ind w:firstLine="480" w:firstLineChars="200"/>
        <w:rPr>
          <w:rFonts w:asciiTheme="minorEastAsia" w:hAnsiTheme="minorEastAsia" w:eastAsiaTheme="minorEastAsia"/>
          <w:color w:val="000000"/>
          <w:sz w:val="24"/>
        </w:rPr>
      </w:pPr>
      <w:r>
        <w:rPr>
          <w:rFonts w:asciiTheme="minorEastAsia" w:hAnsiTheme="minorEastAsia" w:eastAsiaTheme="minorEastAsia"/>
          <w:color w:val="000000"/>
          <w:sz w:val="24"/>
        </w:rPr>
        <w:t>(</w:t>
      </w:r>
      <w:r>
        <w:rPr>
          <w:rFonts w:eastAsiaTheme="minorEastAsia"/>
          <w:color w:val="000000"/>
          <w:sz w:val="24"/>
        </w:rPr>
        <w:t>1</w:t>
      </w:r>
      <w:r>
        <w:rPr>
          <w:rFonts w:asciiTheme="minorEastAsia" w:hAnsiTheme="minorEastAsia" w:eastAsiaTheme="minorEastAsia"/>
          <w:color w:val="000000"/>
          <w:sz w:val="24"/>
        </w:rPr>
        <w:t>)不按照规定制订事故应急预案，拒绝履行应急救援义务的；</w:t>
      </w:r>
    </w:p>
    <w:p>
      <w:pPr>
        <w:spacing w:line="440" w:lineRule="exact"/>
        <w:ind w:firstLine="480" w:firstLineChars="200"/>
        <w:rPr>
          <w:rFonts w:asciiTheme="minorEastAsia" w:hAnsiTheme="minorEastAsia" w:eastAsiaTheme="minorEastAsia"/>
          <w:color w:val="000000"/>
          <w:sz w:val="24"/>
        </w:rPr>
      </w:pPr>
      <w:r>
        <w:rPr>
          <w:rFonts w:asciiTheme="minorEastAsia" w:hAnsiTheme="minorEastAsia" w:eastAsiaTheme="minorEastAsia"/>
          <w:color w:val="000000"/>
          <w:sz w:val="24"/>
        </w:rPr>
        <w:t>(</w:t>
      </w:r>
      <w:r>
        <w:rPr>
          <w:rFonts w:eastAsiaTheme="minorEastAsia"/>
          <w:color w:val="000000"/>
          <w:sz w:val="24"/>
        </w:rPr>
        <w:t>2</w:t>
      </w:r>
      <w:r>
        <w:rPr>
          <w:rFonts w:asciiTheme="minorEastAsia" w:hAnsiTheme="minorEastAsia" w:eastAsiaTheme="minorEastAsia"/>
          <w:color w:val="000000"/>
          <w:sz w:val="24"/>
        </w:rPr>
        <w:t>)不按照规定报告、通报事故灾难真实情况的；</w:t>
      </w:r>
    </w:p>
    <w:p>
      <w:pPr>
        <w:spacing w:line="440" w:lineRule="exact"/>
        <w:ind w:firstLine="480" w:firstLineChars="200"/>
        <w:rPr>
          <w:rFonts w:asciiTheme="minorEastAsia" w:hAnsiTheme="minorEastAsia" w:eastAsiaTheme="minorEastAsia"/>
          <w:color w:val="000000"/>
          <w:sz w:val="24"/>
        </w:rPr>
      </w:pPr>
      <w:r>
        <w:rPr>
          <w:rFonts w:asciiTheme="minorEastAsia" w:hAnsiTheme="minorEastAsia" w:eastAsiaTheme="minorEastAsia"/>
          <w:color w:val="000000"/>
          <w:sz w:val="24"/>
        </w:rPr>
        <w:t>(</w:t>
      </w:r>
      <w:r>
        <w:rPr>
          <w:rFonts w:eastAsiaTheme="minorEastAsia"/>
          <w:color w:val="000000"/>
          <w:sz w:val="24"/>
        </w:rPr>
        <w:t>3</w:t>
      </w:r>
      <w:r>
        <w:rPr>
          <w:rFonts w:asciiTheme="minorEastAsia" w:hAnsiTheme="minorEastAsia" w:eastAsiaTheme="minorEastAsia"/>
          <w:color w:val="000000"/>
          <w:sz w:val="24"/>
        </w:rPr>
        <w:t>)拒不执行突发环境事件应急预案，不服从命令和指挥，或者在应急响应时临阵脱逃的；</w:t>
      </w:r>
    </w:p>
    <w:p>
      <w:pPr>
        <w:spacing w:line="440" w:lineRule="exact"/>
        <w:ind w:firstLine="480" w:firstLineChars="200"/>
        <w:rPr>
          <w:rFonts w:asciiTheme="minorEastAsia" w:hAnsiTheme="minorEastAsia" w:eastAsiaTheme="minorEastAsia"/>
          <w:color w:val="000000"/>
          <w:sz w:val="24"/>
        </w:rPr>
      </w:pPr>
      <w:r>
        <w:rPr>
          <w:rFonts w:asciiTheme="minorEastAsia" w:hAnsiTheme="minorEastAsia" w:eastAsiaTheme="minorEastAsia"/>
          <w:color w:val="000000"/>
          <w:sz w:val="24"/>
        </w:rPr>
        <w:t>(</w:t>
      </w:r>
      <w:r>
        <w:rPr>
          <w:rFonts w:eastAsiaTheme="minorEastAsia"/>
          <w:color w:val="000000"/>
          <w:sz w:val="24"/>
        </w:rPr>
        <w:t>4</w:t>
      </w:r>
      <w:r>
        <w:rPr>
          <w:rFonts w:asciiTheme="minorEastAsia" w:hAnsiTheme="minorEastAsia" w:eastAsiaTheme="minorEastAsia"/>
          <w:color w:val="000000"/>
          <w:sz w:val="24"/>
        </w:rPr>
        <w:t>)盗窃、挪用、贪污应急工作资金或者物资的；</w:t>
      </w:r>
    </w:p>
    <w:p>
      <w:pPr>
        <w:spacing w:line="440" w:lineRule="exact"/>
        <w:ind w:firstLine="480" w:firstLineChars="200"/>
        <w:rPr>
          <w:rFonts w:asciiTheme="minorEastAsia" w:hAnsiTheme="minorEastAsia" w:eastAsiaTheme="minorEastAsia"/>
          <w:color w:val="000000"/>
          <w:sz w:val="24"/>
        </w:rPr>
      </w:pPr>
      <w:r>
        <w:rPr>
          <w:rFonts w:asciiTheme="minorEastAsia" w:hAnsiTheme="minorEastAsia" w:eastAsiaTheme="minorEastAsia"/>
          <w:color w:val="000000"/>
          <w:sz w:val="24"/>
        </w:rPr>
        <w:t>(</w:t>
      </w:r>
      <w:r>
        <w:rPr>
          <w:rFonts w:eastAsiaTheme="minorEastAsia"/>
          <w:color w:val="000000"/>
          <w:sz w:val="24"/>
        </w:rPr>
        <w:t>5</w:t>
      </w:r>
      <w:r>
        <w:rPr>
          <w:rFonts w:asciiTheme="minorEastAsia" w:hAnsiTheme="minorEastAsia" w:eastAsiaTheme="minorEastAsia"/>
          <w:color w:val="000000"/>
          <w:sz w:val="24"/>
        </w:rPr>
        <w:t>)阻碍应急工作人员依法执行任务或者进行破坏活动的；</w:t>
      </w:r>
    </w:p>
    <w:p>
      <w:pPr>
        <w:spacing w:line="440" w:lineRule="exact"/>
        <w:ind w:firstLine="480" w:firstLineChars="200"/>
        <w:rPr>
          <w:rFonts w:asciiTheme="minorEastAsia" w:hAnsiTheme="minorEastAsia" w:eastAsiaTheme="minorEastAsia"/>
          <w:color w:val="000000"/>
          <w:sz w:val="24"/>
        </w:rPr>
      </w:pPr>
      <w:r>
        <w:rPr>
          <w:rFonts w:asciiTheme="minorEastAsia" w:hAnsiTheme="minorEastAsia" w:eastAsiaTheme="minorEastAsia"/>
          <w:color w:val="000000"/>
          <w:sz w:val="24"/>
        </w:rPr>
        <w:t>(</w:t>
      </w:r>
      <w:r>
        <w:rPr>
          <w:rFonts w:eastAsiaTheme="minorEastAsia"/>
          <w:color w:val="000000"/>
          <w:sz w:val="24"/>
        </w:rPr>
        <w:t>6</w:t>
      </w:r>
      <w:r>
        <w:rPr>
          <w:rFonts w:asciiTheme="minorEastAsia" w:hAnsiTheme="minorEastAsia" w:eastAsiaTheme="minorEastAsia"/>
          <w:color w:val="000000"/>
          <w:sz w:val="24"/>
        </w:rPr>
        <w:t>)散布谣言，扰乱社会秩序的；</w:t>
      </w:r>
    </w:p>
    <w:p>
      <w:pPr>
        <w:spacing w:line="440" w:lineRule="exact"/>
        <w:ind w:firstLine="480" w:firstLineChars="200"/>
        <w:rPr>
          <w:rFonts w:asciiTheme="minorEastAsia" w:hAnsiTheme="minorEastAsia" w:eastAsiaTheme="minorEastAsia"/>
          <w:color w:val="000000"/>
          <w:sz w:val="24"/>
        </w:rPr>
      </w:pPr>
      <w:r>
        <w:rPr>
          <w:rFonts w:asciiTheme="minorEastAsia" w:hAnsiTheme="minorEastAsia" w:eastAsiaTheme="minorEastAsia"/>
          <w:color w:val="000000"/>
          <w:sz w:val="24"/>
        </w:rPr>
        <w:t>(</w:t>
      </w:r>
      <w:r>
        <w:rPr>
          <w:rFonts w:eastAsiaTheme="minorEastAsia"/>
          <w:color w:val="000000"/>
          <w:sz w:val="24"/>
        </w:rPr>
        <w:t>7</w:t>
      </w:r>
      <w:r>
        <w:rPr>
          <w:rFonts w:asciiTheme="minorEastAsia" w:hAnsiTheme="minorEastAsia" w:eastAsiaTheme="minorEastAsia"/>
          <w:color w:val="000000"/>
          <w:sz w:val="24"/>
        </w:rPr>
        <w:t>)有其它危害应急工作行为的；</w:t>
      </w:r>
    </w:p>
    <w:p>
      <w:pPr>
        <w:spacing w:line="440" w:lineRule="exact"/>
        <w:ind w:firstLine="480" w:firstLineChars="200"/>
        <w:rPr>
          <w:rFonts w:asciiTheme="minorEastAsia" w:hAnsiTheme="minorEastAsia" w:eastAsiaTheme="minorEastAsia"/>
          <w:color w:val="000000"/>
          <w:sz w:val="24"/>
        </w:rPr>
      </w:pPr>
      <w:r>
        <w:rPr>
          <w:rFonts w:asciiTheme="minorEastAsia" w:hAnsiTheme="minorEastAsia" w:eastAsiaTheme="minorEastAsia"/>
          <w:color w:val="000000"/>
          <w:sz w:val="24"/>
        </w:rPr>
        <w:t>(</w:t>
      </w:r>
      <w:r>
        <w:rPr>
          <w:rFonts w:eastAsiaTheme="minorEastAsia"/>
          <w:color w:val="000000"/>
          <w:sz w:val="24"/>
        </w:rPr>
        <w:t>8</w:t>
      </w:r>
      <w:r>
        <w:rPr>
          <w:rFonts w:asciiTheme="minorEastAsia" w:hAnsiTheme="minorEastAsia" w:eastAsiaTheme="minorEastAsia"/>
          <w:color w:val="000000"/>
          <w:sz w:val="24"/>
        </w:rPr>
        <w:t>)对迟报、瞒报、漏报和谎报重要情况或者有其他失职行为的。</w:t>
      </w:r>
      <w:bookmarkEnd w:id="489"/>
      <w:bookmarkEnd w:id="490"/>
    </w:p>
    <w:p>
      <w:pPr>
        <w:spacing w:before="60" w:after="60" w:line="500" w:lineRule="exact"/>
        <w:outlineLvl w:val="1"/>
        <w:rPr>
          <w:rFonts w:eastAsia="黑体"/>
          <w:b/>
          <w:snapToGrid w:val="0"/>
          <w:spacing w:val="4"/>
          <w:kern w:val="0"/>
          <w:sz w:val="28"/>
          <w:szCs w:val="30"/>
        </w:rPr>
      </w:pPr>
      <w:bookmarkStart w:id="517" w:name="_Toc497226271"/>
      <w:bookmarkStart w:id="518" w:name="_Toc470161993"/>
      <w:bookmarkStart w:id="519" w:name="_Toc500401623"/>
      <w:bookmarkStart w:id="520" w:name="_Toc484164046"/>
      <w:bookmarkStart w:id="521" w:name="_Toc10105739"/>
      <w:bookmarkStart w:id="522" w:name="_Toc465957535"/>
      <w:r>
        <w:rPr>
          <w:rFonts w:eastAsia="黑体"/>
          <w:b/>
          <w:snapToGrid w:val="0"/>
          <w:spacing w:val="4"/>
          <w:kern w:val="0"/>
          <w:sz w:val="28"/>
          <w:szCs w:val="30"/>
        </w:rPr>
        <w:t>1</w:t>
      </w:r>
      <w:r>
        <w:rPr>
          <w:rFonts w:hint="eastAsia" w:eastAsia="黑体"/>
          <w:b/>
          <w:snapToGrid w:val="0"/>
          <w:spacing w:val="4"/>
          <w:kern w:val="0"/>
          <w:sz w:val="28"/>
          <w:szCs w:val="30"/>
        </w:rPr>
        <w:t>2</w:t>
      </w:r>
      <w:r>
        <w:rPr>
          <w:rFonts w:eastAsia="黑体"/>
          <w:b/>
          <w:snapToGrid w:val="0"/>
          <w:spacing w:val="4"/>
          <w:kern w:val="0"/>
          <w:sz w:val="28"/>
          <w:szCs w:val="30"/>
        </w:rPr>
        <w:t>.4预案修订</w:t>
      </w:r>
      <w:bookmarkEnd w:id="517"/>
      <w:bookmarkEnd w:id="518"/>
      <w:bookmarkEnd w:id="519"/>
      <w:bookmarkEnd w:id="520"/>
      <w:bookmarkEnd w:id="521"/>
      <w:bookmarkEnd w:id="522"/>
    </w:p>
    <w:p>
      <w:pPr>
        <w:spacing w:line="440" w:lineRule="exact"/>
        <w:ind w:firstLine="480" w:firstLineChars="200"/>
        <w:rPr>
          <w:snapToGrid w:val="0"/>
          <w:sz w:val="24"/>
        </w:rPr>
      </w:pPr>
      <w:r>
        <w:rPr>
          <w:snapToGrid w:val="0"/>
          <w:sz w:val="24"/>
        </w:rPr>
        <w:t>（1）应急预案评审由</w:t>
      </w:r>
      <w:r>
        <w:rPr>
          <w:rFonts w:hint="eastAsia"/>
          <w:snapToGrid w:val="0"/>
          <w:sz w:val="24"/>
        </w:rPr>
        <w:t>企业</w:t>
      </w:r>
      <w:r>
        <w:rPr>
          <w:snapToGrid w:val="0"/>
          <w:sz w:val="24"/>
        </w:rPr>
        <w:t>应急领导指挥小组根据演练结果及其他信息，每年组织一次评审，以确保预案的持续适宜性，评审时间和评审方式视具体情况而定；在下列情况下，应对应急预案及时修订：</w:t>
      </w:r>
    </w:p>
    <w:p>
      <w:pPr>
        <w:spacing w:line="440" w:lineRule="exact"/>
        <w:ind w:firstLine="480" w:firstLineChars="200"/>
        <w:rPr>
          <w:snapToGrid w:val="0"/>
          <w:sz w:val="24"/>
        </w:rPr>
      </w:pPr>
      <w:r>
        <w:rPr>
          <w:snapToGrid w:val="0"/>
          <w:sz w:val="24"/>
        </w:rPr>
        <w:t>①</w:t>
      </w:r>
      <w:r>
        <w:rPr>
          <w:rFonts w:hint="eastAsia"/>
          <w:snapToGrid w:val="0"/>
          <w:sz w:val="24"/>
        </w:rPr>
        <w:t>环境风险发生重大变化，需要重新进行环境分析评估时；</w:t>
      </w:r>
    </w:p>
    <w:p>
      <w:pPr>
        <w:spacing w:line="440" w:lineRule="exact"/>
        <w:ind w:firstLine="480" w:firstLineChars="200"/>
        <w:rPr>
          <w:snapToGrid w:val="0"/>
          <w:sz w:val="24"/>
        </w:rPr>
      </w:pPr>
      <w:r>
        <w:rPr>
          <w:snapToGrid w:val="0"/>
          <w:sz w:val="24"/>
        </w:rPr>
        <w:t>②</w:t>
      </w:r>
      <w:r>
        <w:rPr>
          <w:rFonts w:hint="eastAsia"/>
          <w:snapToGrid w:val="0"/>
          <w:sz w:val="24"/>
        </w:rPr>
        <w:t>应急管理组织指挥体系与职责发生重大变化时；</w:t>
      </w:r>
    </w:p>
    <w:p>
      <w:pPr>
        <w:spacing w:line="440" w:lineRule="exact"/>
        <w:ind w:firstLine="480" w:firstLineChars="200"/>
        <w:rPr>
          <w:snapToGrid w:val="0"/>
          <w:sz w:val="24"/>
        </w:rPr>
      </w:pPr>
      <w:r>
        <w:rPr>
          <w:snapToGrid w:val="0"/>
          <w:sz w:val="24"/>
        </w:rPr>
        <w:t>③</w:t>
      </w:r>
      <w:r>
        <w:rPr>
          <w:rFonts w:hint="eastAsia"/>
          <w:snapToGrid w:val="0"/>
          <w:sz w:val="24"/>
        </w:rPr>
        <w:t>环境应急监测预警及报告机制、应对流程和措施、应急保障措施发生重大变化时；</w:t>
      </w:r>
    </w:p>
    <w:p>
      <w:pPr>
        <w:spacing w:line="440" w:lineRule="exact"/>
        <w:ind w:firstLine="480" w:firstLineChars="200"/>
        <w:rPr>
          <w:snapToGrid w:val="0"/>
          <w:sz w:val="24"/>
        </w:rPr>
      </w:pPr>
      <w:r>
        <w:rPr>
          <w:snapToGrid w:val="0"/>
          <w:sz w:val="24"/>
        </w:rPr>
        <w:t>④</w:t>
      </w:r>
      <w:r>
        <w:rPr>
          <w:rFonts w:hint="eastAsia"/>
          <w:snapToGrid w:val="0"/>
          <w:sz w:val="24"/>
        </w:rPr>
        <w:t>重要应急资源发生重大变化时；</w:t>
      </w:r>
    </w:p>
    <w:p>
      <w:pPr>
        <w:spacing w:line="440" w:lineRule="exact"/>
        <w:ind w:firstLine="480" w:firstLineChars="200"/>
        <w:rPr>
          <w:snapToGrid w:val="0"/>
          <w:sz w:val="24"/>
        </w:rPr>
      </w:pPr>
      <w:r>
        <w:rPr>
          <w:snapToGrid w:val="0"/>
          <w:sz w:val="24"/>
        </w:rPr>
        <w:t>⑤</w:t>
      </w:r>
      <w:r>
        <w:rPr>
          <w:rFonts w:hint="eastAsia"/>
          <w:snapToGrid w:val="0"/>
          <w:sz w:val="24"/>
        </w:rPr>
        <w:t>在突发环境事件实际应对或应急演练中发现问题，需要对应急预案做出重大调整时；</w:t>
      </w:r>
    </w:p>
    <w:p>
      <w:pPr>
        <w:spacing w:line="440" w:lineRule="exact"/>
        <w:ind w:firstLine="480" w:firstLineChars="200"/>
        <w:rPr>
          <w:snapToGrid w:val="0"/>
          <w:sz w:val="24"/>
        </w:rPr>
      </w:pPr>
      <w:r>
        <w:rPr>
          <w:rFonts w:hint="eastAsia"/>
          <w:snapToGrid w:val="0"/>
          <w:sz w:val="24"/>
        </w:rPr>
        <w:t>⑥其他需要修订的情况。</w:t>
      </w:r>
    </w:p>
    <w:p>
      <w:pPr>
        <w:spacing w:line="440" w:lineRule="exact"/>
        <w:ind w:firstLine="480" w:firstLineChars="200"/>
        <w:rPr>
          <w:snapToGrid w:val="0"/>
          <w:sz w:val="24"/>
        </w:rPr>
      </w:pPr>
      <w:r>
        <w:rPr>
          <w:snapToGrid w:val="0"/>
          <w:sz w:val="24"/>
        </w:rPr>
        <w:t>（2）应急预案更改、修订程序</w:t>
      </w:r>
    </w:p>
    <w:p>
      <w:pPr>
        <w:spacing w:line="440" w:lineRule="exact"/>
        <w:ind w:firstLine="480" w:firstLineChars="200"/>
        <w:rPr>
          <w:snapToGrid w:val="0"/>
          <w:sz w:val="24"/>
        </w:rPr>
      </w:pPr>
      <w:r>
        <w:rPr>
          <w:snapToGrid w:val="0"/>
          <w:sz w:val="24"/>
        </w:rPr>
        <w:t>应急预案的修订由应急领导指挥小组根据上述情况的变化和原因，向</w:t>
      </w:r>
      <w:r>
        <w:rPr>
          <w:rFonts w:hint="eastAsia"/>
          <w:snapToGrid w:val="0"/>
          <w:sz w:val="24"/>
        </w:rPr>
        <w:t>企业</w:t>
      </w:r>
      <w:r>
        <w:rPr>
          <w:snapToGrid w:val="0"/>
          <w:sz w:val="24"/>
        </w:rPr>
        <w:t>领导提出申请，说明修改原因，经授权后组织修订，并将修改后的文件传递给相关部门。</w:t>
      </w:r>
    </w:p>
    <w:p>
      <w:pPr>
        <w:spacing w:line="440" w:lineRule="exact"/>
        <w:ind w:firstLine="480" w:firstLineChars="200"/>
        <w:rPr>
          <w:b/>
          <w:color w:val="000000"/>
          <w:sz w:val="32"/>
          <w:szCs w:val="32"/>
        </w:rPr>
      </w:pPr>
      <w:r>
        <w:rPr>
          <w:snapToGrid w:val="0"/>
          <w:sz w:val="24"/>
        </w:rPr>
        <w:t>（3）预案修订应建立修改记录（包括修改日期、页码、内容、修改人）。</w:t>
      </w:r>
    </w:p>
    <w:p>
      <w:pPr>
        <w:spacing w:before="60" w:after="60" w:line="500" w:lineRule="exact"/>
        <w:outlineLvl w:val="1"/>
        <w:rPr>
          <w:rFonts w:eastAsia="黑体"/>
          <w:b/>
          <w:snapToGrid w:val="0"/>
          <w:spacing w:val="4"/>
          <w:kern w:val="0"/>
          <w:sz w:val="28"/>
          <w:szCs w:val="30"/>
        </w:rPr>
      </w:pPr>
      <w:bookmarkStart w:id="523" w:name="_Toc470161994"/>
      <w:bookmarkStart w:id="524" w:name="_Toc497226272"/>
      <w:bookmarkStart w:id="525" w:name="_Toc465957536"/>
      <w:bookmarkStart w:id="526" w:name="_Toc10105740"/>
      <w:bookmarkStart w:id="527" w:name="_Toc500401624"/>
      <w:bookmarkStart w:id="528" w:name="_Toc484164047"/>
      <w:r>
        <w:rPr>
          <w:rFonts w:eastAsia="黑体"/>
          <w:b/>
          <w:snapToGrid w:val="0"/>
          <w:spacing w:val="4"/>
          <w:kern w:val="0"/>
          <w:sz w:val="28"/>
          <w:szCs w:val="30"/>
        </w:rPr>
        <w:t>1</w:t>
      </w:r>
      <w:r>
        <w:rPr>
          <w:rFonts w:hint="eastAsia" w:eastAsia="黑体"/>
          <w:b/>
          <w:snapToGrid w:val="0"/>
          <w:spacing w:val="4"/>
          <w:kern w:val="0"/>
          <w:sz w:val="28"/>
          <w:szCs w:val="30"/>
        </w:rPr>
        <w:t>2</w:t>
      </w:r>
      <w:r>
        <w:rPr>
          <w:rFonts w:eastAsia="黑体"/>
          <w:b/>
          <w:snapToGrid w:val="0"/>
          <w:spacing w:val="4"/>
          <w:kern w:val="0"/>
          <w:sz w:val="28"/>
          <w:szCs w:val="30"/>
        </w:rPr>
        <w:t>.5预案备案</w:t>
      </w:r>
      <w:bookmarkEnd w:id="523"/>
      <w:bookmarkEnd w:id="524"/>
      <w:bookmarkEnd w:id="525"/>
      <w:bookmarkEnd w:id="526"/>
      <w:bookmarkEnd w:id="527"/>
      <w:bookmarkEnd w:id="528"/>
    </w:p>
    <w:p>
      <w:pPr>
        <w:pStyle w:val="45"/>
        <w:spacing w:line="440" w:lineRule="exact"/>
        <w:ind w:firstLine="480"/>
        <w:rPr>
          <w:rFonts w:ascii="Times New Roman" w:hAnsi="Times New Roman" w:cs="Times New Roman"/>
          <w:snapToGrid w:val="0"/>
          <w:sz w:val="24"/>
        </w:rPr>
        <w:sectPr>
          <w:pgSz w:w="11906" w:h="16838"/>
          <w:pgMar w:top="1440" w:right="1800" w:bottom="1440" w:left="1800" w:header="851" w:footer="992" w:gutter="0"/>
          <w:cols w:space="425" w:num="1"/>
          <w:docGrid w:type="lines" w:linePitch="312" w:charSpace="0"/>
        </w:sectPr>
      </w:pPr>
      <w:r>
        <w:rPr>
          <w:rFonts w:hint="eastAsia" w:ascii="Times New Roman" w:cs="Times New Roman"/>
          <w:snapToGrid w:val="0"/>
          <w:sz w:val="24"/>
        </w:rPr>
        <w:t>企业</w:t>
      </w:r>
      <w:r>
        <w:rPr>
          <w:rFonts w:ascii="Times New Roman" w:cs="Times New Roman"/>
          <w:snapToGrid w:val="0"/>
          <w:sz w:val="24"/>
        </w:rPr>
        <w:t>在应急预案制修订后</w:t>
      </w:r>
      <w:r>
        <w:rPr>
          <w:rFonts w:hint="eastAsia" w:ascii="Times New Roman" w:cs="Times New Roman"/>
          <w:snapToGrid w:val="0"/>
          <w:sz w:val="24"/>
        </w:rPr>
        <w:t>1</w:t>
      </w:r>
      <w:r>
        <w:rPr>
          <w:rFonts w:ascii="Times New Roman" w:hAnsi="Times New Roman" w:cs="Times New Roman"/>
          <w:snapToGrid w:val="0"/>
          <w:color w:val="000000" w:themeColor="text1"/>
          <w:sz w:val="24"/>
          <w14:textFill>
            <w14:solidFill>
              <w14:schemeClr w14:val="tx1"/>
            </w14:solidFill>
          </w14:textFill>
        </w:rPr>
        <w:t>5</w:t>
      </w:r>
      <w:r>
        <w:rPr>
          <w:rFonts w:ascii="Times New Roman" w:cs="Times New Roman"/>
          <w:snapToGrid w:val="0"/>
          <w:color w:val="000000" w:themeColor="text1"/>
          <w:sz w:val="24"/>
          <w14:textFill>
            <w14:solidFill>
              <w14:schemeClr w14:val="tx1"/>
            </w14:solidFill>
          </w14:textFill>
        </w:rPr>
        <w:t>日内向</w:t>
      </w:r>
      <w:r>
        <w:rPr>
          <w:rFonts w:hint="eastAsia" w:hAnsi="宋体"/>
          <w:color w:val="000000" w:themeColor="text1"/>
          <w:sz w:val="24"/>
          <w14:textFill>
            <w14:solidFill>
              <w14:schemeClr w14:val="tx1"/>
            </w14:solidFill>
          </w14:textFill>
        </w:rPr>
        <w:t>区</w:t>
      </w:r>
      <w:r>
        <w:rPr>
          <w:rFonts w:hint="eastAsia" w:hAnsi="宋体"/>
          <w:bCs/>
          <w:color w:val="000000" w:themeColor="text1"/>
          <w:sz w:val="24"/>
          <w14:textFill>
            <w14:solidFill>
              <w14:schemeClr w14:val="tx1"/>
            </w14:solidFill>
          </w14:textFill>
        </w:rPr>
        <w:t>环境保护局</w:t>
      </w:r>
      <w:r>
        <w:rPr>
          <w:rFonts w:ascii="Times New Roman" w:cs="Times New Roman"/>
          <w:snapToGrid w:val="0"/>
          <w:color w:val="000000" w:themeColor="text1"/>
          <w:sz w:val="24"/>
          <w14:textFill>
            <w14:solidFill>
              <w14:schemeClr w14:val="tx1"/>
            </w14:solidFill>
          </w14:textFill>
        </w:rPr>
        <w:t>备案。</w:t>
      </w:r>
    </w:p>
    <w:p>
      <w:pPr>
        <w:outlineLvl w:val="0"/>
        <w:rPr>
          <w:rFonts w:eastAsia="楷体"/>
          <w:b/>
          <w:snapToGrid w:val="0"/>
          <w:spacing w:val="4"/>
          <w:kern w:val="0"/>
          <w:sz w:val="30"/>
          <w:szCs w:val="32"/>
        </w:rPr>
      </w:pPr>
      <w:bookmarkStart w:id="529" w:name="_Toc10105741"/>
      <w:r>
        <w:rPr>
          <w:rFonts w:eastAsia="楷体"/>
          <w:b/>
          <w:snapToGrid w:val="0"/>
          <w:spacing w:val="4"/>
          <w:kern w:val="0"/>
          <w:sz w:val="30"/>
          <w:szCs w:val="32"/>
        </w:rPr>
        <w:t>1</w:t>
      </w:r>
      <w:r>
        <w:rPr>
          <w:rFonts w:hint="eastAsia" w:eastAsia="楷体"/>
          <w:b/>
          <w:snapToGrid w:val="0"/>
          <w:spacing w:val="4"/>
          <w:kern w:val="0"/>
          <w:sz w:val="30"/>
          <w:szCs w:val="32"/>
        </w:rPr>
        <w:t>3</w:t>
      </w:r>
      <w:r>
        <w:rPr>
          <w:rFonts w:eastAsia="楷体"/>
          <w:b/>
          <w:snapToGrid w:val="0"/>
          <w:spacing w:val="4"/>
          <w:kern w:val="0"/>
          <w:sz w:val="30"/>
          <w:szCs w:val="32"/>
        </w:rPr>
        <w:t>附则</w:t>
      </w:r>
      <w:bookmarkEnd w:id="431"/>
      <w:bookmarkEnd w:id="529"/>
    </w:p>
    <w:p>
      <w:pPr>
        <w:spacing w:before="60" w:after="60" w:line="500" w:lineRule="exact"/>
        <w:outlineLvl w:val="1"/>
        <w:rPr>
          <w:rFonts w:eastAsia="黑体"/>
          <w:b/>
          <w:snapToGrid w:val="0"/>
          <w:spacing w:val="4"/>
          <w:kern w:val="0"/>
          <w:sz w:val="28"/>
          <w:szCs w:val="30"/>
        </w:rPr>
      </w:pPr>
      <w:bookmarkStart w:id="530" w:name="_Toc484164049"/>
      <w:bookmarkStart w:id="531" w:name="_Toc465957538"/>
      <w:bookmarkStart w:id="532" w:name="_Toc10105742"/>
      <w:r>
        <w:rPr>
          <w:rFonts w:eastAsia="黑体"/>
          <w:b/>
          <w:snapToGrid w:val="0"/>
          <w:spacing w:val="4"/>
          <w:kern w:val="0"/>
          <w:sz w:val="28"/>
          <w:szCs w:val="30"/>
        </w:rPr>
        <w:t>1</w:t>
      </w:r>
      <w:r>
        <w:rPr>
          <w:rFonts w:hint="eastAsia" w:eastAsia="黑体"/>
          <w:b/>
          <w:snapToGrid w:val="0"/>
          <w:spacing w:val="4"/>
          <w:kern w:val="0"/>
          <w:sz w:val="28"/>
          <w:szCs w:val="30"/>
        </w:rPr>
        <w:t>3</w:t>
      </w:r>
      <w:r>
        <w:rPr>
          <w:rFonts w:eastAsia="黑体"/>
          <w:b/>
          <w:snapToGrid w:val="0"/>
          <w:spacing w:val="4"/>
          <w:kern w:val="0"/>
          <w:sz w:val="28"/>
          <w:szCs w:val="30"/>
        </w:rPr>
        <w:t>.1术语与定义</w:t>
      </w:r>
      <w:bookmarkEnd w:id="530"/>
      <w:bookmarkEnd w:id="531"/>
      <w:bookmarkEnd w:id="532"/>
    </w:p>
    <w:p>
      <w:pPr>
        <w:spacing w:line="440" w:lineRule="exact"/>
        <w:ind w:firstLine="480" w:firstLineChars="200"/>
        <w:rPr>
          <w:rFonts w:asciiTheme="minorEastAsia" w:hAnsiTheme="minorEastAsia" w:eastAsiaTheme="minorEastAsia"/>
          <w:color w:val="000000"/>
          <w:sz w:val="24"/>
        </w:rPr>
      </w:pPr>
      <w:r>
        <w:rPr>
          <w:rFonts w:asciiTheme="minorEastAsia" w:hAnsiTheme="minorEastAsia" w:eastAsiaTheme="minorEastAsia"/>
          <w:color w:val="000000"/>
          <w:sz w:val="24"/>
        </w:rPr>
        <w:t>(</w:t>
      </w:r>
      <w:r>
        <w:rPr>
          <w:rFonts w:eastAsiaTheme="minorEastAsia"/>
          <w:color w:val="000000"/>
          <w:sz w:val="24"/>
        </w:rPr>
        <w:t>1</w:t>
      </w:r>
      <w:r>
        <w:rPr>
          <w:rFonts w:asciiTheme="minorEastAsia" w:hAnsiTheme="minorEastAsia" w:eastAsiaTheme="minorEastAsia"/>
          <w:color w:val="000000"/>
          <w:sz w:val="24"/>
        </w:rPr>
        <w:t>)环境事件</w:t>
      </w:r>
    </w:p>
    <w:p>
      <w:pPr>
        <w:spacing w:line="440" w:lineRule="exact"/>
        <w:ind w:firstLine="480" w:firstLineChars="200"/>
        <w:rPr>
          <w:rFonts w:asciiTheme="minorEastAsia" w:hAnsiTheme="minorEastAsia" w:eastAsiaTheme="minorEastAsia"/>
          <w:color w:val="000000"/>
          <w:sz w:val="24"/>
        </w:rPr>
      </w:pPr>
      <w:r>
        <w:rPr>
          <w:rFonts w:asciiTheme="minorEastAsia" w:hAnsiTheme="minorEastAsia" w:eastAsiaTheme="minorEastAsia"/>
          <w:color w:val="000000"/>
          <w:sz w:val="24"/>
        </w:rPr>
        <w:t>是指由于违反环境保护法律法规的经济、社会活动与行为，以及意外因素的影响或不可抗拒的自然灾害等原因致使环境受到污染，人体健康受到危害，社会经济与人民群众财产受到损失，造成不良社会影响的突发性事件。</w:t>
      </w:r>
    </w:p>
    <w:p>
      <w:pPr>
        <w:spacing w:line="440" w:lineRule="exact"/>
        <w:ind w:firstLine="480" w:firstLineChars="200"/>
        <w:rPr>
          <w:rFonts w:asciiTheme="minorEastAsia" w:hAnsiTheme="minorEastAsia" w:eastAsiaTheme="minorEastAsia"/>
          <w:color w:val="000000"/>
          <w:sz w:val="24"/>
        </w:rPr>
      </w:pPr>
      <w:r>
        <w:rPr>
          <w:rFonts w:asciiTheme="minorEastAsia" w:hAnsiTheme="minorEastAsia" w:eastAsiaTheme="minorEastAsia"/>
          <w:color w:val="000000"/>
          <w:sz w:val="24"/>
        </w:rPr>
        <w:t>(</w:t>
      </w:r>
      <w:r>
        <w:rPr>
          <w:rFonts w:eastAsiaTheme="minorEastAsia"/>
          <w:color w:val="000000"/>
          <w:sz w:val="24"/>
        </w:rPr>
        <w:t>2</w:t>
      </w:r>
      <w:r>
        <w:rPr>
          <w:rFonts w:asciiTheme="minorEastAsia" w:hAnsiTheme="minorEastAsia" w:eastAsiaTheme="minorEastAsia"/>
          <w:color w:val="000000"/>
          <w:sz w:val="24"/>
        </w:rPr>
        <w:t>)突发环境事件</w:t>
      </w:r>
    </w:p>
    <w:p>
      <w:pPr>
        <w:widowControl/>
        <w:spacing w:line="440" w:lineRule="exact"/>
        <w:ind w:firstLine="480" w:firstLineChars="200"/>
        <w:jc w:val="left"/>
        <w:rPr>
          <w:rFonts w:asciiTheme="minorEastAsia" w:hAnsiTheme="minorEastAsia" w:eastAsiaTheme="minorEastAsia"/>
          <w:color w:val="000000"/>
          <w:sz w:val="24"/>
        </w:rPr>
      </w:pPr>
      <w:r>
        <w:rPr>
          <w:rFonts w:asciiTheme="minorEastAsia" w:hAnsiTheme="minorEastAsia" w:eastAsiaTheme="minorEastAsia"/>
          <w:color w:val="000000"/>
          <w:sz w:val="24"/>
        </w:rPr>
        <w:t>突发环境事件是指由于污染物排放或自然灾害、生产安全事故等因素，导致污染物或放射性物质等有毒有害物质进入大气、水体、土壤等环境介质，突然造成和可能造成环境质量下降，危及公众身体健康和财产安全，或造成生态环境破坏，或造成重大社会影响，需要采取紧急措施予以应对的事件，主要包括大气环境污染、水体污染、土壤污染等突发性环境污染事件和辐射污染事件。</w:t>
      </w:r>
    </w:p>
    <w:p>
      <w:pPr>
        <w:spacing w:line="440" w:lineRule="exact"/>
        <w:ind w:firstLine="480" w:firstLineChars="200"/>
        <w:rPr>
          <w:rFonts w:asciiTheme="minorEastAsia" w:hAnsiTheme="minorEastAsia" w:eastAsiaTheme="minorEastAsia"/>
          <w:color w:val="000000"/>
          <w:sz w:val="24"/>
        </w:rPr>
      </w:pPr>
      <w:r>
        <w:rPr>
          <w:rFonts w:asciiTheme="minorEastAsia" w:hAnsiTheme="minorEastAsia" w:eastAsiaTheme="minorEastAsia"/>
          <w:color w:val="000000"/>
          <w:sz w:val="24"/>
        </w:rPr>
        <w:t>(</w:t>
      </w:r>
      <w:r>
        <w:rPr>
          <w:rFonts w:eastAsiaTheme="minorEastAsia"/>
          <w:color w:val="000000"/>
          <w:sz w:val="24"/>
        </w:rPr>
        <w:t>3</w:t>
      </w:r>
      <w:r>
        <w:rPr>
          <w:rFonts w:asciiTheme="minorEastAsia" w:hAnsiTheme="minorEastAsia" w:eastAsiaTheme="minorEastAsia"/>
          <w:color w:val="000000"/>
          <w:sz w:val="24"/>
        </w:rPr>
        <w:t>)环境应急</w:t>
      </w:r>
    </w:p>
    <w:p>
      <w:pPr>
        <w:spacing w:line="440" w:lineRule="exact"/>
        <w:ind w:firstLine="480" w:firstLineChars="200"/>
        <w:rPr>
          <w:rFonts w:asciiTheme="minorEastAsia" w:hAnsiTheme="minorEastAsia" w:eastAsiaTheme="minorEastAsia"/>
          <w:color w:val="000000"/>
          <w:sz w:val="24"/>
        </w:rPr>
      </w:pPr>
      <w:r>
        <w:rPr>
          <w:rFonts w:asciiTheme="minorEastAsia" w:hAnsiTheme="minorEastAsia" w:eastAsiaTheme="minorEastAsia"/>
          <w:color w:val="000000"/>
          <w:sz w:val="24"/>
        </w:rPr>
        <w:t>针对可能或已发生的突发环境事件需要立即采取某些超出正常工作程序的行动，以避免事件发生或减轻事件后果的状态，也称为紧急状态；同时也泛指立即采取超出正常工作程序的行动。</w:t>
      </w:r>
    </w:p>
    <w:p>
      <w:pPr>
        <w:spacing w:line="440" w:lineRule="exact"/>
        <w:ind w:firstLine="480" w:firstLineChars="200"/>
        <w:rPr>
          <w:rFonts w:asciiTheme="minorEastAsia" w:hAnsiTheme="minorEastAsia" w:eastAsiaTheme="minorEastAsia"/>
          <w:color w:val="000000"/>
          <w:sz w:val="24"/>
        </w:rPr>
      </w:pPr>
      <w:r>
        <w:rPr>
          <w:rFonts w:asciiTheme="minorEastAsia" w:hAnsiTheme="minorEastAsia" w:eastAsiaTheme="minorEastAsia"/>
          <w:color w:val="000000"/>
          <w:sz w:val="24"/>
        </w:rPr>
        <w:t>(</w:t>
      </w:r>
      <w:r>
        <w:rPr>
          <w:rFonts w:eastAsiaTheme="minorEastAsia"/>
          <w:color w:val="000000"/>
          <w:sz w:val="24"/>
        </w:rPr>
        <w:t>4</w:t>
      </w:r>
      <w:r>
        <w:rPr>
          <w:rFonts w:asciiTheme="minorEastAsia" w:hAnsiTheme="minorEastAsia" w:eastAsiaTheme="minorEastAsia"/>
          <w:color w:val="000000"/>
          <w:sz w:val="24"/>
        </w:rPr>
        <w:t>)应急监测</w:t>
      </w:r>
    </w:p>
    <w:p>
      <w:pPr>
        <w:spacing w:line="440" w:lineRule="exact"/>
        <w:ind w:firstLine="480" w:firstLineChars="200"/>
        <w:rPr>
          <w:rFonts w:asciiTheme="minorEastAsia" w:hAnsiTheme="minorEastAsia" w:eastAsiaTheme="minorEastAsia"/>
          <w:color w:val="000000"/>
          <w:sz w:val="24"/>
        </w:rPr>
      </w:pPr>
      <w:r>
        <w:rPr>
          <w:rFonts w:asciiTheme="minorEastAsia" w:hAnsiTheme="minorEastAsia" w:eastAsiaTheme="minorEastAsia"/>
          <w:color w:val="000000"/>
          <w:sz w:val="24"/>
        </w:rPr>
        <w:t>环境应急情况下，为发现和查明环境污染情况和污染范围而进行的环境监测。包括定点监测和动态监测。</w:t>
      </w:r>
    </w:p>
    <w:p>
      <w:pPr>
        <w:spacing w:line="440" w:lineRule="exact"/>
        <w:ind w:firstLine="480" w:firstLineChars="200"/>
        <w:rPr>
          <w:rFonts w:asciiTheme="minorEastAsia" w:hAnsiTheme="minorEastAsia" w:eastAsiaTheme="minorEastAsia"/>
          <w:color w:val="000000"/>
          <w:sz w:val="24"/>
        </w:rPr>
      </w:pPr>
      <w:r>
        <w:rPr>
          <w:rFonts w:asciiTheme="minorEastAsia" w:hAnsiTheme="minorEastAsia" w:eastAsiaTheme="minorEastAsia"/>
          <w:color w:val="000000"/>
          <w:sz w:val="24"/>
        </w:rPr>
        <w:t>(</w:t>
      </w:r>
      <w:r>
        <w:rPr>
          <w:rFonts w:eastAsiaTheme="minorEastAsia"/>
          <w:color w:val="000000"/>
          <w:sz w:val="24"/>
        </w:rPr>
        <w:t>5</w:t>
      </w:r>
      <w:r>
        <w:rPr>
          <w:rFonts w:asciiTheme="minorEastAsia" w:hAnsiTheme="minorEastAsia" w:eastAsiaTheme="minorEastAsia"/>
          <w:color w:val="000000"/>
          <w:sz w:val="24"/>
        </w:rPr>
        <w:t>)应急演习</w:t>
      </w:r>
    </w:p>
    <w:p>
      <w:pPr>
        <w:spacing w:line="440" w:lineRule="exact"/>
        <w:ind w:firstLine="480" w:firstLineChars="200"/>
        <w:rPr>
          <w:rFonts w:asciiTheme="minorEastAsia" w:hAnsiTheme="minorEastAsia" w:eastAsiaTheme="minorEastAsia"/>
          <w:color w:val="000000"/>
          <w:sz w:val="24"/>
        </w:rPr>
      </w:pPr>
      <w:r>
        <w:rPr>
          <w:rFonts w:asciiTheme="minorEastAsia" w:hAnsiTheme="minorEastAsia" w:eastAsiaTheme="minorEastAsia"/>
          <w:color w:val="000000"/>
          <w:sz w:val="24"/>
        </w:rPr>
        <w:t>指为检验应急预案的有效性、应急准备的完善性、应急响应能力的适应性和应急人员的协同性而进行的一种模拟应急响应的实践活动。根据所涉及的内容和范围的不同，可分为单项演习(演练)、综合演习和指挥中心、现场应急组织联合进行的联合演习。</w:t>
      </w:r>
    </w:p>
    <w:p>
      <w:pPr>
        <w:spacing w:before="60" w:after="60" w:line="500" w:lineRule="exact"/>
        <w:outlineLvl w:val="1"/>
        <w:rPr>
          <w:rFonts w:asciiTheme="minorEastAsia" w:hAnsiTheme="minorEastAsia" w:eastAsiaTheme="minorEastAsia"/>
          <w:b/>
          <w:snapToGrid w:val="0"/>
          <w:spacing w:val="4"/>
          <w:kern w:val="0"/>
          <w:sz w:val="28"/>
          <w:szCs w:val="30"/>
        </w:rPr>
      </w:pPr>
      <w:bookmarkStart w:id="533" w:name="_Toc465957539"/>
      <w:bookmarkStart w:id="534" w:name="_Toc484164050"/>
      <w:bookmarkStart w:id="535" w:name="_Toc10105743"/>
      <w:r>
        <w:rPr>
          <w:rFonts w:eastAsiaTheme="minorEastAsia"/>
          <w:b/>
          <w:snapToGrid w:val="0"/>
          <w:spacing w:val="4"/>
          <w:kern w:val="0"/>
          <w:sz w:val="28"/>
          <w:szCs w:val="30"/>
        </w:rPr>
        <w:t>13.2</w:t>
      </w:r>
      <w:r>
        <w:rPr>
          <w:rFonts w:asciiTheme="minorEastAsia" w:hAnsiTheme="minorEastAsia" w:eastAsiaTheme="minorEastAsia"/>
          <w:b/>
          <w:snapToGrid w:val="0"/>
          <w:spacing w:val="4"/>
          <w:kern w:val="0"/>
          <w:sz w:val="28"/>
          <w:szCs w:val="30"/>
        </w:rPr>
        <w:t>发布实施</w:t>
      </w:r>
      <w:bookmarkEnd w:id="533"/>
      <w:bookmarkEnd w:id="534"/>
      <w:bookmarkEnd w:id="535"/>
    </w:p>
    <w:p>
      <w:pPr>
        <w:spacing w:line="440" w:lineRule="exact"/>
        <w:ind w:firstLine="480" w:firstLineChars="200"/>
        <w:rPr>
          <w:rFonts w:asciiTheme="minorEastAsia" w:hAnsiTheme="minorEastAsia" w:eastAsiaTheme="minorEastAsia"/>
          <w:sz w:val="24"/>
        </w:rPr>
      </w:pPr>
      <w:r>
        <w:rPr>
          <w:rFonts w:asciiTheme="minorEastAsia" w:hAnsiTheme="minorEastAsia" w:eastAsiaTheme="minorEastAsia"/>
          <w:sz w:val="24"/>
        </w:rPr>
        <w:t>(1)本预案由</w:t>
      </w:r>
      <w:r>
        <w:rPr>
          <w:rFonts w:hint="eastAsia" w:hAnsi="宋体" w:eastAsiaTheme="minorEastAsia"/>
          <w:color w:val="FF0000"/>
          <w:sz w:val="24"/>
          <w:lang w:eastAsia="zh-CN"/>
        </w:rPr>
        <w:t>中国石化销售股份有限公司江西南昌红谷滩石油分公司世纪星加油站</w:t>
      </w:r>
      <w:r>
        <w:rPr>
          <w:rFonts w:asciiTheme="minorEastAsia" w:hAnsiTheme="minorEastAsia" w:eastAsiaTheme="minorEastAsia"/>
          <w:sz w:val="24"/>
        </w:rPr>
        <w:t>制定发布，由</w:t>
      </w:r>
      <w:r>
        <w:rPr>
          <w:rFonts w:hint="eastAsia" w:hAnsi="宋体" w:eastAsiaTheme="minorEastAsia"/>
          <w:color w:val="FF0000"/>
          <w:sz w:val="24"/>
          <w:lang w:eastAsia="zh-CN"/>
        </w:rPr>
        <w:t>中国石化销售股份有限公司江西南昌红谷滩石油分公司世纪星加油站</w:t>
      </w:r>
      <w:r>
        <w:rPr>
          <w:rFonts w:asciiTheme="minorEastAsia" w:hAnsiTheme="minorEastAsia" w:eastAsiaTheme="minorEastAsia"/>
          <w:sz w:val="24"/>
        </w:rPr>
        <w:t>负责解释与组织实施。</w:t>
      </w:r>
    </w:p>
    <w:p>
      <w:pPr>
        <w:spacing w:line="440" w:lineRule="exact"/>
        <w:ind w:firstLine="480" w:firstLineChars="200"/>
        <w:rPr>
          <w:rFonts w:asciiTheme="minorEastAsia" w:hAnsiTheme="minorEastAsia" w:eastAsiaTheme="minorEastAsia"/>
          <w:color w:val="000000" w:themeColor="text1"/>
          <w:sz w:val="24"/>
          <w14:textFill>
            <w14:solidFill>
              <w14:schemeClr w14:val="tx1"/>
            </w14:solidFill>
          </w14:textFill>
        </w:rPr>
      </w:pPr>
      <w:r>
        <w:rPr>
          <w:rFonts w:asciiTheme="minorEastAsia" w:hAnsiTheme="minorEastAsia" w:eastAsiaTheme="minorEastAsia"/>
          <w:color w:val="000000" w:themeColor="text1"/>
          <w:sz w:val="24"/>
          <w14:textFill>
            <w14:solidFill>
              <w14:schemeClr w14:val="tx1"/>
            </w14:solidFill>
          </w14:textFill>
        </w:rPr>
        <w:t>(2)本预案自颁布之日起施行。</w:t>
      </w:r>
    </w:p>
    <w:p>
      <w:pPr>
        <w:spacing w:line="500" w:lineRule="exact"/>
        <w:ind w:firstLine="560" w:firstLineChars="200"/>
        <w:rPr>
          <w:rFonts w:ascii="宋体" w:hAnsi="宋体"/>
          <w:sz w:val="28"/>
          <w:szCs w:val="28"/>
        </w:rPr>
        <w:sectPr>
          <w:pgSz w:w="11906" w:h="16838"/>
          <w:pgMar w:top="1440" w:right="1800" w:bottom="1440" w:left="1800" w:header="851" w:footer="992" w:gutter="0"/>
          <w:cols w:space="425" w:num="1"/>
          <w:docGrid w:type="lines" w:linePitch="312" w:charSpace="0"/>
        </w:sectPr>
      </w:pPr>
    </w:p>
    <w:p>
      <w:pPr>
        <w:outlineLvl w:val="0"/>
        <w:rPr>
          <w:rFonts w:eastAsia="楷体"/>
          <w:b/>
          <w:snapToGrid w:val="0"/>
          <w:spacing w:val="4"/>
          <w:kern w:val="0"/>
          <w:sz w:val="30"/>
          <w:szCs w:val="32"/>
        </w:rPr>
      </w:pPr>
      <w:bookmarkStart w:id="536" w:name="_Toc336595483"/>
      <w:bookmarkStart w:id="537" w:name="_Toc336595847"/>
      <w:bookmarkStart w:id="538" w:name="_Toc336595962"/>
      <w:bookmarkStart w:id="539" w:name="_Toc336597001"/>
      <w:bookmarkStart w:id="540" w:name="_Toc484164051"/>
      <w:bookmarkStart w:id="541" w:name="_Toc10105744"/>
      <w:r>
        <w:rPr>
          <w:rFonts w:eastAsia="楷体"/>
          <w:b/>
          <w:snapToGrid w:val="0"/>
          <w:spacing w:val="4"/>
          <w:kern w:val="0"/>
          <w:sz w:val="30"/>
          <w:szCs w:val="32"/>
        </w:rPr>
        <w:t>1</w:t>
      </w:r>
      <w:bookmarkEnd w:id="536"/>
      <w:bookmarkEnd w:id="537"/>
      <w:bookmarkEnd w:id="538"/>
      <w:bookmarkEnd w:id="539"/>
      <w:bookmarkStart w:id="542" w:name="_Toc336595484"/>
      <w:bookmarkStart w:id="543" w:name="_Toc336595848"/>
      <w:bookmarkStart w:id="544" w:name="_Toc336595963"/>
      <w:bookmarkStart w:id="545" w:name="_Toc336597002"/>
      <w:r>
        <w:rPr>
          <w:rFonts w:hint="eastAsia" w:eastAsia="楷体"/>
          <w:b/>
          <w:snapToGrid w:val="0"/>
          <w:spacing w:val="4"/>
          <w:kern w:val="0"/>
          <w:sz w:val="30"/>
          <w:szCs w:val="32"/>
        </w:rPr>
        <w:t>4附图与附件</w:t>
      </w:r>
      <w:bookmarkEnd w:id="540"/>
      <w:bookmarkEnd w:id="541"/>
    </w:p>
    <w:p>
      <w:pPr>
        <w:spacing w:before="60" w:after="60" w:line="500" w:lineRule="exact"/>
        <w:outlineLvl w:val="1"/>
        <w:rPr>
          <w:rFonts w:eastAsia="黑体"/>
          <w:b/>
          <w:snapToGrid w:val="0"/>
          <w:spacing w:val="4"/>
          <w:kern w:val="0"/>
          <w:sz w:val="28"/>
          <w:szCs w:val="30"/>
        </w:rPr>
      </w:pPr>
      <w:bookmarkStart w:id="546" w:name="_Toc484164052"/>
      <w:bookmarkStart w:id="547" w:name="_Toc10105745"/>
      <w:r>
        <w:rPr>
          <w:rFonts w:hint="eastAsia" w:eastAsia="黑体"/>
          <w:b/>
          <w:snapToGrid w:val="0"/>
          <w:spacing w:val="4"/>
          <w:kern w:val="0"/>
          <w:sz w:val="28"/>
          <w:szCs w:val="30"/>
        </w:rPr>
        <w:t>14.1附件</w:t>
      </w:r>
      <w:bookmarkEnd w:id="546"/>
      <w:bookmarkEnd w:id="547"/>
    </w:p>
    <w:bookmarkEnd w:id="542"/>
    <w:bookmarkEnd w:id="543"/>
    <w:bookmarkEnd w:id="544"/>
    <w:bookmarkEnd w:id="545"/>
    <w:p>
      <w:pPr>
        <w:spacing w:line="440" w:lineRule="exact"/>
        <w:ind w:firstLine="480" w:firstLineChars="200"/>
        <w:rPr>
          <w:sz w:val="24"/>
        </w:rPr>
      </w:pPr>
      <w:r>
        <w:rPr>
          <w:rFonts w:hAnsi="宋体"/>
          <w:sz w:val="24"/>
        </w:rPr>
        <w:t>附件</w:t>
      </w:r>
      <w:r>
        <w:rPr>
          <w:sz w:val="24"/>
        </w:rPr>
        <w:t>1</w:t>
      </w:r>
      <w:r>
        <w:rPr>
          <w:rFonts w:hAnsi="宋体"/>
          <w:sz w:val="24"/>
        </w:rPr>
        <w:t>：</w:t>
      </w:r>
      <w:r>
        <w:rPr>
          <w:rFonts w:hint="eastAsia" w:hAnsi="宋体"/>
          <w:sz w:val="24"/>
        </w:rPr>
        <w:t>应急指挥通讯录</w:t>
      </w:r>
    </w:p>
    <w:p>
      <w:pPr>
        <w:spacing w:line="440" w:lineRule="exact"/>
        <w:ind w:firstLine="480" w:firstLineChars="200"/>
        <w:rPr>
          <w:rFonts w:hAnsi="宋体"/>
          <w:sz w:val="24"/>
        </w:rPr>
      </w:pPr>
      <w:r>
        <w:rPr>
          <w:rFonts w:hAnsi="宋体"/>
          <w:sz w:val="24"/>
        </w:rPr>
        <w:t>附件</w:t>
      </w:r>
      <w:r>
        <w:rPr>
          <w:sz w:val="24"/>
        </w:rPr>
        <w:t>2</w:t>
      </w:r>
      <w:r>
        <w:rPr>
          <w:rFonts w:hAnsi="宋体"/>
          <w:sz w:val="24"/>
        </w:rPr>
        <w:t>：</w:t>
      </w:r>
      <w:r>
        <w:rPr>
          <w:rFonts w:hint="eastAsia" w:hAnsi="宋体"/>
          <w:sz w:val="24"/>
        </w:rPr>
        <w:t>应急物资一览表</w:t>
      </w:r>
    </w:p>
    <w:p>
      <w:pPr>
        <w:spacing w:line="440" w:lineRule="exact"/>
        <w:ind w:firstLine="480" w:firstLineChars="200"/>
        <w:rPr>
          <w:rFonts w:hAnsi="宋体"/>
          <w:sz w:val="24"/>
        </w:rPr>
      </w:pPr>
      <w:r>
        <w:rPr>
          <w:rFonts w:hAnsi="宋体"/>
          <w:sz w:val="24"/>
        </w:rPr>
        <w:t>附件</w:t>
      </w:r>
      <w:r>
        <w:rPr>
          <w:sz w:val="24"/>
        </w:rPr>
        <w:t>3</w:t>
      </w:r>
      <w:r>
        <w:rPr>
          <w:rFonts w:hAnsi="宋体"/>
          <w:sz w:val="24"/>
        </w:rPr>
        <w:t>：</w:t>
      </w:r>
      <w:r>
        <w:rPr>
          <w:rFonts w:hint="eastAsia" w:hAnsi="宋体"/>
          <w:sz w:val="24"/>
        </w:rPr>
        <w:t>风险物质理化性质及危险特性表</w:t>
      </w:r>
    </w:p>
    <w:p>
      <w:pPr>
        <w:spacing w:line="440" w:lineRule="exact"/>
        <w:ind w:firstLine="480" w:firstLineChars="200"/>
        <w:rPr>
          <w:rFonts w:hAnsi="宋体"/>
          <w:sz w:val="24"/>
        </w:rPr>
      </w:pPr>
      <w:r>
        <w:rPr>
          <w:rFonts w:hAnsi="宋体"/>
          <w:sz w:val="24"/>
        </w:rPr>
        <w:t>附件</w:t>
      </w:r>
      <w:r>
        <w:rPr>
          <w:rFonts w:hint="eastAsia"/>
          <w:sz w:val="24"/>
        </w:rPr>
        <w:t>4</w:t>
      </w:r>
      <w:r>
        <w:rPr>
          <w:rFonts w:hAnsi="宋体"/>
          <w:sz w:val="24"/>
        </w:rPr>
        <w:t>：</w:t>
      </w:r>
      <w:r>
        <w:rPr>
          <w:rFonts w:hint="eastAsia" w:hAnsi="宋体"/>
          <w:sz w:val="24"/>
        </w:rPr>
        <w:t>应急处置卡</w:t>
      </w:r>
    </w:p>
    <w:p>
      <w:pPr>
        <w:spacing w:line="440" w:lineRule="exact"/>
        <w:ind w:firstLine="480" w:firstLineChars="200"/>
        <w:rPr>
          <w:rFonts w:hAnsi="宋体"/>
          <w:sz w:val="24"/>
        </w:rPr>
      </w:pPr>
      <w:r>
        <w:rPr>
          <w:rFonts w:hAnsi="宋体"/>
          <w:sz w:val="24"/>
        </w:rPr>
        <w:t>附件</w:t>
      </w:r>
      <w:r>
        <w:rPr>
          <w:rFonts w:hint="eastAsia" w:hAnsi="宋体"/>
          <w:sz w:val="24"/>
        </w:rPr>
        <w:t>5</w:t>
      </w:r>
      <w:r>
        <w:rPr>
          <w:rFonts w:hAnsi="宋体"/>
          <w:sz w:val="24"/>
        </w:rPr>
        <w:t>：</w:t>
      </w:r>
      <w:r>
        <w:rPr>
          <w:rFonts w:hint="eastAsia" w:hAnsi="宋体"/>
          <w:sz w:val="24"/>
        </w:rPr>
        <w:t>突发环境事件信息报告表</w:t>
      </w:r>
    </w:p>
    <w:p>
      <w:pPr>
        <w:spacing w:line="440" w:lineRule="exact"/>
        <w:ind w:firstLine="480" w:firstLineChars="200"/>
        <w:rPr>
          <w:rFonts w:hAnsi="宋体"/>
          <w:sz w:val="24"/>
        </w:rPr>
      </w:pPr>
      <w:r>
        <w:rPr>
          <w:rFonts w:hAnsi="宋体"/>
          <w:sz w:val="24"/>
        </w:rPr>
        <w:t>附件</w:t>
      </w:r>
      <w:r>
        <w:rPr>
          <w:rFonts w:hint="eastAsia" w:hAnsi="宋体"/>
          <w:sz w:val="24"/>
        </w:rPr>
        <w:t>6</w:t>
      </w:r>
      <w:r>
        <w:rPr>
          <w:rFonts w:hAnsi="宋体"/>
          <w:sz w:val="24"/>
        </w:rPr>
        <w:t>：</w:t>
      </w:r>
      <w:r>
        <w:rPr>
          <w:rFonts w:hint="eastAsia" w:hAnsi="宋体"/>
          <w:sz w:val="24"/>
        </w:rPr>
        <w:t>突发环境事件应急预案演练记录表</w:t>
      </w:r>
    </w:p>
    <w:p>
      <w:pPr>
        <w:spacing w:before="60" w:after="60" w:line="500" w:lineRule="exact"/>
        <w:outlineLvl w:val="1"/>
        <w:rPr>
          <w:rFonts w:eastAsia="黑体"/>
          <w:b/>
          <w:snapToGrid w:val="0"/>
          <w:spacing w:val="4"/>
          <w:kern w:val="0"/>
          <w:sz w:val="28"/>
          <w:szCs w:val="30"/>
        </w:rPr>
      </w:pPr>
      <w:bookmarkStart w:id="548" w:name="_Toc484164053"/>
      <w:bookmarkStart w:id="549" w:name="_Toc10105746"/>
      <w:r>
        <w:rPr>
          <w:rFonts w:hint="eastAsia" w:eastAsia="黑体"/>
          <w:b/>
          <w:snapToGrid w:val="0"/>
          <w:spacing w:val="4"/>
          <w:kern w:val="0"/>
          <w:sz w:val="28"/>
          <w:szCs w:val="30"/>
        </w:rPr>
        <w:t>14.2附图</w:t>
      </w:r>
      <w:bookmarkEnd w:id="548"/>
      <w:bookmarkEnd w:id="549"/>
    </w:p>
    <w:p>
      <w:pPr>
        <w:spacing w:before="156" w:beforeLines="50" w:after="156" w:afterLines="50"/>
        <w:ind w:firstLine="496" w:firstLineChars="200"/>
        <w:outlineLvl w:val="1"/>
        <w:rPr>
          <w:snapToGrid w:val="0"/>
          <w:color w:val="000000"/>
          <w:spacing w:val="4"/>
          <w:kern w:val="0"/>
          <w:sz w:val="24"/>
        </w:rPr>
      </w:pPr>
      <w:bookmarkStart w:id="550" w:name="_Toc10105747"/>
      <w:r>
        <w:rPr>
          <w:rFonts w:hint="eastAsia"/>
          <w:snapToGrid w:val="0"/>
          <w:color w:val="000000"/>
          <w:spacing w:val="4"/>
          <w:kern w:val="0"/>
          <w:sz w:val="24"/>
        </w:rPr>
        <w:t>附图1  企业地理位置示意图</w:t>
      </w:r>
      <w:bookmarkEnd w:id="550"/>
    </w:p>
    <w:p>
      <w:pPr>
        <w:spacing w:before="156" w:beforeLines="50" w:after="156" w:afterLines="50"/>
        <w:ind w:firstLine="496" w:firstLineChars="200"/>
        <w:outlineLvl w:val="1"/>
        <w:rPr>
          <w:snapToGrid w:val="0"/>
          <w:color w:val="000000"/>
          <w:spacing w:val="4"/>
          <w:kern w:val="0"/>
          <w:sz w:val="24"/>
        </w:rPr>
      </w:pPr>
      <w:bookmarkStart w:id="551" w:name="_Toc10105748"/>
      <w:r>
        <w:rPr>
          <w:rFonts w:hint="eastAsia"/>
          <w:snapToGrid w:val="0"/>
          <w:color w:val="000000"/>
          <w:spacing w:val="4"/>
          <w:kern w:val="0"/>
          <w:sz w:val="24"/>
        </w:rPr>
        <w:t>附图2  企业周边500米环境风险受体分布示意图</w:t>
      </w:r>
      <w:bookmarkEnd w:id="551"/>
    </w:p>
    <w:p>
      <w:pPr>
        <w:spacing w:before="156" w:beforeLines="50" w:after="156" w:afterLines="50"/>
        <w:ind w:firstLine="496" w:firstLineChars="200"/>
        <w:outlineLvl w:val="1"/>
        <w:rPr>
          <w:rFonts w:hAnsi="宋体"/>
          <w:sz w:val="24"/>
        </w:rPr>
        <w:sectPr>
          <w:pgSz w:w="11906" w:h="16838"/>
          <w:pgMar w:top="1440" w:right="1800" w:bottom="1440" w:left="1800" w:header="851" w:footer="992" w:gutter="0"/>
          <w:cols w:space="425" w:num="1"/>
          <w:docGrid w:type="lines" w:linePitch="312" w:charSpace="0"/>
        </w:sectPr>
      </w:pPr>
      <w:bookmarkStart w:id="552" w:name="_Toc10105750"/>
      <w:r>
        <w:rPr>
          <w:rFonts w:hint="eastAsia"/>
          <w:snapToGrid w:val="0"/>
          <w:color w:val="000000"/>
          <w:spacing w:val="4"/>
          <w:kern w:val="0"/>
          <w:sz w:val="24"/>
        </w:rPr>
        <w:t>附图</w:t>
      </w:r>
      <w:r>
        <w:rPr>
          <w:rFonts w:hint="eastAsia"/>
          <w:snapToGrid w:val="0"/>
          <w:color w:val="000000"/>
          <w:spacing w:val="4"/>
          <w:kern w:val="0"/>
          <w:sz w:val="24"/>
          <w:lang w:val="en-US" w:eastAsia="zh-CN"/>
        </w:rPr>
        <w:t>3</w:t>
      </w:r>
      <w:r>
        <w:rPr>
          <w:rFonts w:hint="eastAsia"/>
          <w:snapToGrid w:val="0"/>
          <w:color w:val="000000"/>
          <w:spacing w:val="4"/>
          <w:kern w:val="0"/>
          <w:sz w:val="24"/>
        </w:rPr>
        <w:t xml:space="preserve">  企业平面布置、风险目标、雨水管网、应急设施分布示意图</w:t>
      </w:r>
      <w:bookmarkEnd w:id="552"/>
    </w:p>
    <w:p>
      <w:pPr>
        <w:spacing w:before="156" w:beforeLines="50" w:after="156" w:afterLines="50"/>
        <w:outlineLvl w:val="1"/>
        <w:rPr>
          <w:rFonts w:hAnsi="宋体"/>
          <w:b/>
          <w:sz w:val="24"/>
          <w:szCs w:val="28"/>
        </w:rPr>
      </w:pPr>
      <w:bookmarkStart w:id="553" w:name="_Toc336595487"/>
      <w:bookmarkStart w:id="554" w:name="_Toc336595851"/>
      <w:bookmarkStart w:id="555" w:name="_Toc336595966"/>
      <w:bookmarkStart w:id="556" w:name="_Toc336597005"/>
      <w:bookmarkStart w:id="557" w:name="_Toc469746266"/>
      <w:bookmarkStart w:id="558" w:name="_Toc470162001"/>
      <w:bookmarkStart w:id="559" w:name="_Toc484164054"/>
      <w:bookmarkStart w:id="560" w:name="_Toc497226279"/>
      <w:bookmarkStart w:id="561" w:name="_Toc500487356"/>
      <w:bookmarkStart w:id="562" w:name="_Toc509302779"/>
      <w:bookmarkStart w:id="563" w:name="_Toc10105751"/>
      <w:r>
        <w:rPr>
          <w:rFonts w:hAnsi="宋体"/>
          <w:b/>
          <w:sz w:val="24"/>
          <w:szCs w:val="28"/>
        </w:rPr>
        <w:t>附件</w:t>
      </w:r>
      <w:r>
        <w:rPr>
          <w:b/>
          <w:sz w:val="24"/>
          <w:szCs w:val="28"/>
        </w:rPr>
        <w:t>1</w:t>
      </w:r>
      <w:r>
        <w:rPr>
          <w:rFonts w:hAnsi="宋体"/>
          <w:b/>
          <w:sz w:val="24"/>
          <w:szCs w:val="28"/>
        </w:rPr>
        <w:t>：</w:t>
      </w:r>
      <w:bookmarkEnd w:id="553"/>
      <w:bookmarkEnd w:id="554"/>
      <w:bookmarkEnd w:id="555"/>
      <w:bookmarkEnd w:id="556"/>
      <w:bookmarkEnd w:id="557"/>
      <w:bookmarkEnd w:id="558"/>
      <w:r>
        <w:rPr>
          <w:rFonts w:hint="eastAsia" w:hAnsi="宋体"/>
          <w:b/>
          <w:sz w:val="24"/>
          <w:szCs w:val="28"/>
        </w:rPr>
        <w:t>应急指挥通讯录</w:t>
      </w:r>
      <w:bookmarkEnd w:id="559"/>
      <w:bookmarkEnd w:id="560"/>
      <w:bookmarkEnd w:id="561"/>
      <w:bookmarkEnd w:id="562"/>
      <w:bookmarkEnd w:id="563"/>
    </w:p>
    <w:p>
      <w:pPr>
        <w:adjustRightInd w:val="0"/>
        <w:snapToGrid w:val="0"/>
        <w:spacing w:line="440" w:lineRule="exact"/>
        <w:jc w:val="center"/>
        <w:rPr>
          <w:rFonts w:hint="eastAsia" w:hAnsi="宋体"/>
          <w:b/>
          <w:color w:val="000000"/>
          <w:kern w:val="0"/>
          <w:szCs w:val="21"/>
        </w:rPr>
      </w:pPr>
      <w:r>
        <w:rPr>
          <w:rFonts w:hAnsi="宋体"/>
          <w:b/>
          <w:szCs w:val="28"/>
        </w:rPr>
        <w:t>表</w:t>
      </w:r>
      <w:r>
        <w:rPr>
          <w:b/>
          <w:szCs w:val="28"/>
        </w:rPr>
        <w:t xml:space="preserve">1  </w:t>
      </w:r>
      <w:r>
        <w:rPr>
          <w:rFonts w:hint="eastAsia" w:hAnsi="宋体"/>
          <w:b/>
          <w:color w:val="000000"/>
          <w:kern w:val="0"/>
          <w:szCs w:val="21"/>
        </w:rPr>
        <w:t>企业应急指挥系统名单一览表</w:t>
      </w:r>
    </w:p>
    <w:tbl>
      <w:tblPr>
        <w:tblStyle w:val="31"/>
        <w:tblW w:w="1410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134"/>
        <w:gridCol w:w="1559"/>
        <w:gridCol w:w="6095"/>
        <w:gridCol w:w="1844"/>
        <w:gridCol w:w="23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1101" w:type="dxa"/>
            <w:noWrap w:val="0"/>
            <w:vAlign w:val="center"/>
          </w:tcPr>
          <w:p>
            <w:pPr>
              <w:spacing w:line="320" w:lineRule="exact"/>
              <w:jc w:val="center"/>
              <w:rPr>
                <w:color w:val="000000"/>
                <w:sz w:val="21"/>
                <w:szCs w:val="21"/>
                <w:highlight w:val="none"/>
              </w:rPr>
            </w:pPr>
            <w:bookmarkStart w:id="564" w:name="_Hlk9945669"/>
            <w:r>
              <w:rPr>
                <w:rFonts w:hAnsi="宋体"/>
                <w:color w:val="000000"/>
                <w:sz w:val="21"/>
                <w:szCs w:val="21"/>
                <w:highlight w:val="none"/>
              </w:rPr>
              <w:t>职位</w:t>
            </w:r>
          </w:p>
        </w:tc>
        <w:tc>
          <w:tcPr>
            <w:tcW w:w="1134" w:type="dxa"/>
            <w:noWrap w:val="0"/>
            <w:vAlign w:val="center"/>
          </w:tcPr>
          <w:p>
            <w:pPr>
              <w:spacing w:line="320" w:lineRule="exact"/>
              <w:jc w:val="center"/>
              <w:rPr>
                <w:color w:val="000000"/>
                <w:sz w:val="21"/>
                <w:szCs w:val="21"/>
                <w:highlight w:val="none"/>
              </w:rPr>
            </w:pPr>
            <w:r>
              <w:rPr>
                <w:rFonts w:hAnsi="宋体"/>
                <w:color w:val="000000"/>
                <w:sz w:val="21"/>
                <w:szCs w:val="21"/>
                <w:highlight w:val="none"/>
              </w:rPr>
              <w:t>姓名</w:t>
            </w:r>
          </w:p>
        </w:tc>
        <w:tc>
          <w:tcPr>
            <w:tcW w:w="1559" w:type="dxa"/>
            <w:noWrap w:val="0"/>
            <w:vAlign w:val="center"/>
          </w:tcPr>
          <w:p>
            <w:pPr>
              <w:spacing w:line="320" w:lineRule="exact"/>
              <w:jc w:val="center"/>
              <w:rPr>
                <w:color w:val="000000"/>
                <w:sz w:val="21"/>
                <w:szCs w:val="21"/>
                <w:highlight w:val="none"/>
              </w:rPr>
            </w:pPr>
            <w:r>
              <w:rPr>
                <w:rFonts w:hAnsi="宋体"/>
                <w:color w:val="000000"/>
                <w:sz w:val="21"/>
                <w:szCs w:val="21"/>
                <w:highlight w:val="none"/>
              </w:rPr>
              <w:t>职务</w:t>
            </w:r>
          </w:p>
        </w:tc>
        <w:tc>
          <w:tcPr>
            <w:tcW w:w="6095" w:type="dxa"/>
            <w:noWrap w:val="0"/>
            <w:vAlign w:val="center"/>
          </w:tcPr>
          <w:p>
            <w:pPr>
              <w:spacing w:line="320" w:lineRule="exact"/>
              <w:jc w:val="center"/>
              <w:rPr>
                <w:color w:val="000000"/>
                <w:sz w:val="21"/>
                <w:szCs w:val="21"/>
                <w:highlight w:val="none"/>
              </w:rPr>
            </w:pPr>
            <w:r>
              <w:rPr>
                <w:rFonts w:hAnsi="宋体"/>
                <w:color w:val="000000"/>
                <w:sz w:val="21"/>
                <w:szCs w:val="21"/>
                <w:highlight w:val="none"/>
              </w:rPr>
              <w:t>主要职责</w:t>
            </w:r>
          </w:p>
        </w:tc>
        <w:tc>
          <w:tcPr>
            <w:tcW w:w="1844" w:type="dxa"/>
            <w:noWrap w:val="0"/>
            <w:vAlign w:val="center"/>
          </w:tcPr>
          <w:p>
            <w:pPr>
              <w:spacing w:line="320" w:lineRule="exact"/>
              <w:jc w:val="center"/>
              <w:rPr>
                <w:color w:val="000000"/>
                <w:sz w:val="21"/>
                <w:szCs w:val="21"/>
                <w:highlight w:val="none"/>
              </w:rPr>
            </w:pPr>
            <w:r>
              <w:rPr>
                <w:rFonts w:hAnsi="宋体"/>
                <w:color w:val="000000"/>
                <w:sz w:val="21"/>
                <w:szCs w:val="21"/>
                <w:highlight w:val="none"/>
              </w:rPr>
              <w:t>联系方式</w:t>
            </w:r>
          </w:p>
        </w:tc>
        <w:tc>
          <w:tcPr>
            <w:tcW w:w="2373" w:type="dxa"/>
            <w:noWrap w:val="0"/>
            <w:vAlign w:val="center"/>
          </w:tcPr>
          <w:p>
            <w:pPr>
              <w:spacing w:line="320" w:lineRule="exact"/>
              <w:jc w:val="center"/>
              <w:rPr>
                <w:color w:val="000000"/>
                <w:sz w:val="21"/>
                <w:szCs w:val="21"/>
                <w:highlight w:val="none"/>
              </w:rPr>
            </w:pPr>
            <w:r>
              <w:rPr>
                <w:rFonts w:hAnsi="宋体"/>
                <w:color w:val="000000"/>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8" w:hRule="atLeast"/>
          <w:jc w:val="center"/>
        </w:trPr>
        <w:tc>
          <w:tcPr>
            <w:tcW w:w="1101" w:type="dxa"/>
            <w:noWrap w:val="0"/>
            <w:vAlign w:val="center"/>
          </w:tcPr>
          <w:p>
            <w:pPr>
              <w:spacing w:line="320" w:lineRule="exact"/>
              <w:jc w:val="center"/>
              <w:rPr>
                <w:color w:val="000000"/>
                <w:sz w:val="21"/>
                <w:szCs w:val="21"/>
                <w:highlight w:val="none"/>
              </w:rPr>
            </w:pPr>
            <w:r>
              <w:rPr>
                <w:rFonts w:hAnsi="宋体"/>
                <w:color w:val="000000"/>
                <w:sz w:val="21"/>
                <w:szCs w:val="21"/>
                <w:highlight w:val="none"/>
              </w:rPr>
              <w:t>总指挥</w:t>
            </w:r>
          </w:p>
        </w:tc>
        <w:tc>
          <w:tcPr>
            <w:tcW w:w="1134" w:type="dxa"/>
            <w:noWrap w:val="0"/>
            <w:vAlign w:val="center"/>
          </w:tcPr>
          <w:p>
            <w:pPr>
              <w:spacing w:line="320" w:lineRule="exact"/>
              <w:jc w:val="center"/>
              <w:rPr>
                <w:color w:val="FF0000"/>
                <w:sz w:val="21"/>
                <w:szCs w:val="21"/>
                <w:highlight w:val="none"/>
              </w:rPr>
            </w:pPr>
            <w:r>
              <w:rPr>
                <w:rFonts w:hint="eastAsia"/>
                <w:color w:val="FF0000"/>
                <w:sz w:val="21"/>
                <w:szCs w:val="21"/>
                <w:highlight w:val="none"/>
                <w:lang w:eastAsia="zh-CN"/>
              </w:rPr>
              <w:t>熊雄</w:t>
            </w:r>
          </w:p>
        </w:tc>
        <w:tc>
          <w:tcPr>
            <w:tcW w:w="1559" w:type="dxa"/>
            <w:noWrap w:val="0"/>
            <w:vAlign w:val="center"/>
          </w:tcPr>
          <w:p>
            <w:pPr>
              <w:spacing w:line="320" w:lineRule="exact"/>
              <w:jc w:val="center"/>
              <w:rPr>
                <w:color w:val="FF0000"/>
                <w:sz w:val="21"/>
                <w:szCs w:val="21"/>
                <w:highlight w:val="none"/>
              </w:rPr>
            </w:pPr>
            <w:r>
              <w:rPr>
                <w:rFonts w:hint="eastAsia"/>
                <w:color w:val="FF0000"/>
                <w:sz w:val="21"/>
                <w:szCs w:val="21"/>
                <w:highlight w:val="none"/>
              </w:rPr>
              <w:t>站长</w:t>
            </w:r>
          </w:p>
        </w:tc>
        <w:tc>
          <w:tcPr>
            <w:tcW w:w="6095" w:type="dxa"/>
            <w:noWrap w:val="0"/>
            <w:vAlign w:val="center"/>
          </w:tcPr>
          <w:p>
            <w:pPr>
              <w:spacing w:line="320" w:lineRule="exact"/>
              <w:jc w:val="center"/>
              <w:rPr>
                <w:color w:val="000000"/>
                <w:sz w:val="21"/>
                <w:szCs w:val="21"/>
                <w:highlight w:val="none"/>
              </w:rPr>
            </w:pPr>
            <w:r>
              <w:rPr>
                <w:rFonts w:hAnsi="宋体"/>
                <w:color w:val="000000"/>
                <w:sz w:val="21"/>
                <w:szCs w:val="21"/>
                <w:highlight w:val="none"/>
              </w:rPr>
              <w:t>指挥企业突发环境事件应急救援工作，负责与环保、消防等政府有关部门联系、沟通，宣布应急状态的启动和解除，全面指挥调动应急组织，调配应急资源，按应急程序组织实施应急抢险。</w:t>
            </w:r>
          </w:p>
        </w:tc>
        <w:tc>
          <w:tcPr>
            <w:tcW w:w="1844" w:type="dxa"/>
            <w:noWrap w:val="0"/>
            <w:vAlign w:val="center"/>
          </w:tcPr>
          <w:p>
            <w:pPr>
              <w:spacing w:line="320" w:lineRule="exact"/>
              <w:jc w:val="center"/>
              <w:rPr>
                <w:color w:val="FF0000"/>
                <w:sz w:val="21"/>
                <w:szCs w:val="21"/>
                <w:highlight w:val="none"/>
              </w:rPr>
            </w:pPr>
            <w:r>
              <w:rPr>
                <w:rFonts w:hint="eastAsia"/>
                <w:color w:val="FF0000"/>
                <w:sz w:val="21"/>
                <w:szCs w:val="21"/>
                <w:highlight w:val="none"/>
              </w:rPr>
              <w:t>18807099122</w:t>
            </w:r>
          </w:p>
        </w:tc>
        <w:tc>
          <w:tcPr>
            <w:tcW w:w="2373" w:type="dxa"/>
            <w:noWrap w:val="0"/>
            <w:vAlign w:val="center"/>
          </w:tcPr>
          <w:p>
            <w:pPr>
              <w:spacing w:line="320" w:lineRule="exact"/>
              <w:jc w:val="center"/>
              <w:rPr>
                <w:color w:val="000000"/>
                <w:sz w:val="21"/>
                <w:szCs w:val="21"/>
                <w:highlight w:val="none"/>
              </w:rPr>
            </w:pPr>
            <w:r>
              <w:rPr>
                <w:rFonts w:hAnsi="宋体"/>
                <w:color w:val="000000"/>
                <w:sz w:val="21"/>
                <w:szCs w:val="21"/>
                <w:highlight w:val="none"/>
              </w:rPr>
              <w:t>兼任新闻宣传组组长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1101" w:type="dxa"/>
            <w:noWrap w:val="0"/>
            <w:vAlign w:val="center"/>
          </w:tcPr>
          <w:p>
            <w:pPr>
              <w:spacing w:line="320" w:lineRule="exact"/>
              <w:jc w:val="center"/>
              <w:rPr>
                <w:rFonts w:hAnsi="宋体"/>
                <w:color w:val="000000"/>
                <w:sz w:val="21"/>
                <w:szCs w:val="21"/>
                <w:highlight w:val="none"/>
              </w:rPr>
            </w:pPr>
            <w:r>
              <w:rPr>
                <w:rFonts w:hAnsi="宋体"/>
                <w:color w:val="000000"/>
                <w:sz w:val="21"/>
                <w:szCs w:val="21"/>
                <w:highlight w:val="none"/>
              </w:rPr>
              <w:t>副总指挥</w:t>
            </w:r>
          </w:p>
        </w:tc>
        <w:tc>
          <w:tcPr>
            <w:tcW w:w="1134" w:type="dxa"/>
            <w:noWrap w:val="0"/>
            <w:vAlign w:val="center"/>
          </w:tcPr>
          <w:p>
            <w:pPr>
              <w:jc w:val="center"/>
              <w:rPr>
                <w:rFonts w:ascii="宋体" w:hAnsi="宋体" w:cs="宋体"/>
                <w:color w:val="FF0000"/>
                <w:sz w:val="21"/>
                <w:szCs w:val="21"/>
                <w:highlight w:val="none"/>
              </w:rPr>
            </w:pPr>
            <w:r>
              <w:rPr>
                <w:rFonts w:hint="eastAsia"/>
                <w:color w:val="FF0000"/>
                <w:sz w:val="21"/>
                <w:szCs w:val="21"/>
                <w:highlight w:val="none"/>
              </w:rPr>
              <w:t>熊海媛</w:t>
            </w:r>
          </w:p>
        </w:tc>
        <w:tc>
          <w:tcPr>
            <w:tcW w:w="1559" w:type="dxa"/>
            <w:noWrap w:val="0"/>
            <w:vAlign w:val="center"/>
          </w:tcPr>
          <w:p>
            <w:pPr>
              <w:jc w:val="center"/>
              <w:rPr>
                <w:rFonts w:ascii="宋体" w:hAnsi="宋体" w:cs="宋体"/>
                <w:color w:val="FF0000"/>
                <w:sz w:val="21"/>
                <w:szCs w:val="21"/>
                <w:highlight w:val="none"/>
              </w:rPr>
            </w:pPr>
            <w:r>
              <w:rPr>
                <w:rFonts w:hint="eastAsia"/>
                <w:color w:val="FF0000"/>
                <w:sz w:val="21"/>
                <w:szCs w:val="21"/>
                <w:highlight w:val="none"/>
              </w:rPr>
              <w:t>综合管理员</w:t>
            </w:r>
          </w:p>
        </w:tc>
        <w:tc>
          <w:tcPr>
            <w:tcW w:w="6095" w:type="dxa"/>
            <w:noWrap w:val="0"/>
            <w:vAlign w:val="center"/>
          </w:tcPr>
          <w:p>
            <w:pPr>
              <w:spacing w:line="320" w:lineRule="exact"/>
              <w:jc w:val="center"/>
              <w:rPr>
                <w:color w:val="000000"/>
                <w:sz w:val="21"/>
                <w:szCs w:val="21"/>
                <w:highlight w:val="none"/>
              </w:rPr>
            </w:pPr>
            <w:r>
              <w:rPr>
                <w:color w:val="000000"/>
                <w:sz w:val="21"/>
                <w:szCs w:val="21"/>
                <w:highlight w:val="none"/>
              </w:rPr>
              <w:t>协助总指挥作好应急救援的具体指挥工作。向总指挥提出救援过程中生产运行方面应考虑和采取的安全措施。向总指挥提出救援过程中技术方面应考虑和采取的安全措施，主要协助做好事故报警、情况通报、灭火、警戒、治安保卫、疏散、人员救护、道路管制及事故的处理工作。若总指挥不在时，由副总指挥全权负责应急救援工作。</w:t>
            </w:r>
          </w:p>
        </w:tc>
        <w:tc>
          <w:tcPr>
            <w:tcW w:w="1844" w:type="dxa"/>
            <w:noWrap w:val="0"/>
            <w:vAlign w:val="center"/>
          </w:tcPr>
          <w:p>
            <w:pPr>
              <w:spacing w:line="320" w:lineRule="exact"/>
              <w:jc w:val="center"/>
              <w:rPr>
                <w:color w:val="FF0000"/>
                <w:sz w:val="21"/>
                <w:szCs w:val="21"/>
                <w:highlight w:val="none"/>
              </w:rPr>
            </w:pPr>
            <w:r>
              <w:rPr>
                <w:rFonts w:hint="eastAsia"/>
                <w:color w:val="FF0000"/>
                <w:sz w:val="21"/>
                <w:szCs w:val="21"/>
                <w:highlight w:val="none"/>
              </w:rPr>
              <w:t>18270832518</w:t>
            </w:r>
          </w:p>
        </w:tc>
        <w:tc>
          <w:tcPr>
            <w:tcW w:w="2373" w:type="dxa"/>
            <w:noWrap w:val="0"/>
            <w:vAlign w:val="center"/>
          </w:tcPr>
          <w:p>
            <w:pPr>
              <w:spacing w:line="320" w:lineRule="exact"/>
              <w:jc w:val="center"/>
              <w:rPr>
                <w:rFonts w:hAnsi="宋体"/>
                <w:color w:val="000000"/>
                <w:sz w:val="21"/>
                <w:szCs w:val="21"/>
                <w:highlight w:val="none"/>
              </w:rPr>
            </w:pPr>
            <w:r>
              <w:rPr>
                <w:rFonts w:hAnsi="宋体"/>
                <w:color w:val="000000"/>
                <w:sz w:val="21"/>
                <w:szCs w:val="21"/>
                <w:highlight w:val="none"/>
              </w:rPr>
              <w:t>兼任社会稳定组组长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101" w:type="dxa"/>
            <w:vMerge w:val="restart"/>
            <w:noWrap w:val="0"/>
            <w:vAlign w:val="center"/>
          </w:tcPr>
          <w:p>
            <w:pPr>
              <w:spacing w:line="320" w:lineRule="exact"/>
              <w:jc w:val="center"/>
              <w:rPr>
                <w:color w:val="000000"/>
                <w:sz w:val="21"/>
                <w:szCs w:val="21"/>
                <w:highlight w:val="none"/>
              </w:rPr>
            </w:pPr>
            <w:r>
              <w:rPr>
                <w:rFonts w:hAnsi="宋体"/>
                <w:color w:val="000000"/>
                <w:sz w:val="21"/>
                <w:szCs w:val="21"/>
                <w:highlight w:val="none"/>
              </w:rPr>
              <w:t>组员</w:t>
            </w:r>
          </w:p>
        </w:tc>
        <w:tc>
          <w:tcPr>
            <w:tcW w:w="1134" w:type="dxa"/>
            <w:noWrap w:val="0"/>
            <w:vAlign w:val="center"/>
          </w:tcPr>
          <w:p>
            <w:pPr>
              <w:spacing w:line="320" w:lineRule="exact"/>
              <w:jc w:val="center"/>
              <w:rPr>
                <w:rFonts w:ascii="宋体" w:hAnsi="宋体" w:cs="宋体"/>
                <w:color w:val="FF0000"/>
                <w:sz w:val="21"/>
                <w:szCs w:val="21"/>
                <w:highlight w:val="none"/>
              </w:rPr>
            </w:pPr>
            <w:r>
              <w:rPr>
                <w:rFonts w:hint="eastAsia" w:ascii="宋体" w:hAnsi="宋体" w:cs="宋体"/>
                <w:color w:val="FF0000"/>
                <w:sz w:val="21"/>
                <w:szCs w:val="21"/>
                <w:highlight w:val="none"/>
                <w:lang w:eastAsia="zh-CN"/>
              </w:rPr>
              <w:t>李荣</w:t>
            </w:r>
          </w:p>
        </w:tc>
        <w:tc>
          <w:tcPr>
            <w:tcW w:w="1559" w:type="dxa"/>
            <w:noWrap w:val="0"/>
            <w:vAlign w:val="center"/>
          </w:tcPr>
          <w:p>
            <w:pPr>
              <w:spacing w:line="320" w:lineRule="exact"/>
              <w:jc w:val="center"/>
              <w:rPr>
                <w:rFonts w:hint="eastAsia" w:ascii="宋体" w:hAnsi="宋体" w:eastAsia="宋体" w:cs="宋体"/>
                <w:color w:val="FF0000"/>
                <w:sz w:val="21"/>
                <w:szCs w:val="21"/>
                <w:highlight w:val="none"/>
                <w:lang w:eastAsia="zh-CN"/>
              </w:rPr>
            </w:pPr>
            <w:r>
              <w:rPr>
                <w:rFonts w:hint="eastAsia" w:ascii="宋体" w:hAnsi="宋体" w:eastAsia="宋体" w:cs="宋体"/>
                <w:color w:val="FF0000"/>
                <w:sz w:val="21"/>
                <w:szCs w:val="21"/>
                <w:highlight w:val="none"/>
                <w:lang w:eastAsia="zh-CN"/>
              </w:rPr>
              <w:t>设备管理员</w:t>
            </w:r>
          </w:p>
        </w:tc>
        <w:tc>
          <w:tcPr>
            <w:tcW w:w="6095" w:type="dxa"/>
            <w:vMerge w:val="restart"/>
            <w:noWrap w:val="0"/>
            <w:vAlign w:val="center"/>
          </w:tcPr>
          <w:p>
            <w:pPr>
              <w:spacing w:line="320" w:lineRule="exact"/>
              <w:jc w:val="center"/>
              <w:rPr>
                <w:color w:val="000000"/>
                <w:sz w:val="21"/>
                <w:szCs w:val="21"/>
                <w:highlight w:val="none"/>
              </w:rPr>
            </w:pPr>
            <w:r>
              <w:rPr>
                <w:rFonts w:hAnsi="宋体"/>
                <w:color w:val="000000"/>
                <w:sz w:val="21"/>
                <w:szCs w:val="21"/>
                <w:highlight w:val="none"/>
              </w:rPr>
              <w:t>负责突发环境事件应急物资保障、污染现场处置、现场监测、受伤人员的紧急救治及送医、对外联络、与政府部门配合等</w:t>
            </w:r>
          </w:p>
        </w:tc>
        <w:tc>
          <w:tcPr>
            <w:tcW w:w="1844" w:type="dxa"/>
            <w:noWrap w:val="0"/>
            <w:vAlign w:val="center"/>
          </w:tcPr>
          <w:p>
            <w:pPr>
              <w:spacing w:line="320" w:lineRule="exact"/>
              <w:jc w:val="center"/>
              <w:rPr>
                <w:color w:val="FF0000"/>
                <w:sz w:val="21"/>
                <w:szCs w:val="21"/>
                <w:highlight w:val="none"/>
              </w:rPr>
            </w:pPr>
            <w:r>
              <w:rPr>
                <w:rFonts w:hint="eastAsia"/>
                <w:color w:val="FF0000"/>
                <w:sz w:val="21"/>
                <w:szCs w:val="21"/>
                <w:highlight w:val="none"/>
                <w:lang w:val="en-US" w:eastAsia="zh-CN"/>
              </w:rPr>
              <w:t>13979192613</w:t>
            </w:r>
          </w:p>
        </w:tc>
        <w:tc>
          <w:tcPr>
            <w:tcW w:w="2373" w:type="dxa"/>
            <w:noWrap w:val="0"/>
            <w:vAlign w:val="center"/>
          </w:tcPr>
          <w:p>
            <w:pPr>
              <w:spacing w:line="320" w:lineRule="exact"/>
              <w:jc w:val="center"/>
              <w:rPr>
                <w:color w:val="000000"/>
                <w:sz w:val="21"/>
                <w:szCs w:val="21"/>
                <w:highlight w:val="none"/>
              </w:rPr>
            </w:pPr>
            <w:r>
              <w:rPr>
                <w:rFonts w:hAnsi="宋体"/>
                <w:color w:val="000000"/>
                <w:sz w:val="21"/>
                <w:szCs w:val="21"/>
                <w:highlight w:val="none"/>
              </w:rPr>
              <w:t>应急监测组组长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101" w:type="dxa"/>
            <w:vMerge w:val="continue"/>
            <w:noWrap w:val="0"/>
            <w:vAlign w:val="center"/>
          </w:tcPr>
          <w:p>
            <w:pPr>
              <w:spacing w:line="320" w:lineRule="exact"/>
              <w:jc w:val="center"/>
              <w:rPr>
                <w:color w:val="000000"/>
                <w:sz w:val="21"/>
                <w:szCs w:val="21"/>
                <w:highlight w:val="none"/>
              </w:rPr>
            </w:pPr>
          </w:p>
        </w:tc>
        <w:tc>
          <w:tcPr>
            <w:tcW w:w="1134" w:type="dxa"/>
            <w:noWrap w:val="0"/>
            <w:vAlign w:val="center"/>
          </w:tcPr>
          <w:p>
            <w:pPr>
              <w:spacing w:line="320" w:lineRule="exact"/>
              <w:jc w:val="center"/>
              <w:rPr>
                <w:rFonts w:ascii="宋体" w:hAnsi="宋体" w:cs="宋体"/>
                <w:color w:val="FF0000"/>
                <w:sz w:val="21"/>
                <w:szCs w:val="21"/>
                <w:highlight w:val="none"/>
              </w:rPr>
            </w:pPr>
            <w:r>
              <w:rPr>
                <w:rFonts w:hint="eastAsia"/>
                <w:color w:val="FF0000"/>
                <w:sz w:val="21"/>
                <w:szCs w:val="21"/>
                <w:highlight w:val="none"/>
              </w:rPr>
              <w:t>张徐华</w:t>
            </w:r>
          </w:p>
        </w:tc>
        <w:tc>
          <w:tcPr>
            <w:tcW w:w="1559" w:type="dxa"/>
            <w:noWrap w:val="0"/>
            <w:vAlign w:val="center"/>
          </w:tcPr>
          <w:p>
            <w:pPr>
              <w:spacing w:line="320" w:lineRule="exact"/>
              <w:jc w:val="center"/>
              <w:rPr>
                <w:rFonts w:hAnsi="宋体"/>
                <w:color w:val="FF0000"/>
                <w:sz w:val="21"/>
                <w:szCs w:val="21"/>
                <w:highlight w:val="none"/>
              </w:rPr>
            </w:pPr>
            <w:r>
              <w:rPr>
                <w:rFonts w:hint="eastAsia" w:ascii="宋体" w:hAnsi="宋体" w:cs="宋体"/>
                <w:color w:val="FF0000"/>
                <w:sz w:val="21"/>
                <w:szCs w:val="21"/>
                <w:highlight w:val="none"/>
                <w:lang w:eastAsia="zh-CN"/>
              </w:rPr>
              <w:t>加油员</w:t>
            </w:r>
          </w:p>
        </w:tc>
        <w:tc>
          <w:tcPr>
            <w:tcW w:w="6095" w:type="dxa"/>
            <w:vMerge w:val="continue"/>
            <w:noWrap w:val="0"/>
            <w:vAlign w:val="center"/>
          </w:tcPr>
          <w:p>
            <w:pPr>
              <w:spacing w:line="320" w:lineRule="exact"/>
              <w:jc w:val="center"/>
              <w:rPr>
                <w:color w:val="000000"/>
                <w:sz w:val="21"/>
                <w:szCs w:val="21"/>
                <w:highlight w:val="none"/>
              </w:rPr>
            </w:pPr>
          </w:p>
        </w:tc>
        <w:tc>
          <w:tcPr>
            <w:tcW w:w="1844" w:type="dxa"/>
            <w:noWrap w:val="0"/>
            <w:vAlign w:val="center"/>
          </w:tcPr>
          <w:p>
            <w:pPr>
              <w:spacing w:line="320" w:lineRule="exact"/>
              <w:jc w:val="center"/>
              <w:rPr>
                <w:color w:val="FF0000"/>
                <w:sz w:val="21"/>
                <w:szCs w:val="21"/>
                <w:highlight w:val="none"/>
              </w:rPr>
            </w:pPr>
            <w:r>
              <w:rPr>
                <w:rFonts w:hint="eastAsia"/>
                <w:color w:val="FF0000"/>
                <w:sz w:val="21"/>
                <w:szCs w:val="21"/>
                <w:highlight w:val="none"/>
              </w:rPr>
              <w:t>17370891386</w:t>
            </w:r>
          </w:p>
        </w:tc>
        <w:tc>
          <w:tcPr>
            <w:tcW w:w="2373" w:type="dxa"/>
            <w:noWrap w:val="0"/>
            <w:vAlign w:val="center"/>
          </w:tcPr>
          <w:p>
            <w:pPr>
              <w:spacing w:line="320" w:lineRule="exact"/>
              <w:jc w:val="center"/>
              <w:rPr>
                <w:color w:val="000000"/>
                <w:sz w:val="21"/>
                <w:szCs w:val="21"/>
                <w:highlight w:val="none"/>
              </w:rPr>
            </w:pPr>
            <w:r>
              <w:rPr>
                <w:rFonts w:hAnsi="宋体"/>
                <w:color w:val="000000"/>
                <w:sz w:val="21"/>
                <w:szCs w:val="21"/>
                <w:highlight w:val="none"/>
              </w:rPr>
              <w:t>污染处置组组长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101" w:type="dxa"/>
            <w:vMerge w:val="continue"/>
            <w:noWrap w:val="0"/>
            <w:vAlign w:val="center"/>
          </w:tcPr>
          <w:p>
            <w:pPr>
              <w:spacing w:line="320" w:lineRule="exact"/>
              <w:jc w:val="center"/>
              <w:rPr>
                <w:color w:val="000000"/>
                <w:sz w:val="21"/>
                <w:szCs w:val="21"/>
                <w:highlight w:val="none"/>
              </w:rPr>
            </w:pPr>
          </w:p>
        </w:tc>
        <w:tc>
          <w:tcPr>
            <w:tcW w:w="1134" w:type="dxa"/>
            <w:noWrap w:val="0"/>
            <w:vAlign w:val="center"/>
          </w:tcPr>
          <w:p>
            <w:pPr>
              <w:spacing w:line="320" w:lineRule="exact"/>
              <w:jc w:val="center"/>
              <w:rPr>
                <w:rFonts w:ascii="宋体" w:hAnsi="宋体" w:cs="宋体"/>
                <w:color w:val="FF0000"/>
                <w:sz w:val="21"/>
                <w:szCs w:val="21"/>
                <w:highlight w:val="none"/>
              </w:rPr>
            </w:pPr>
            <w:r>
              <w:rPr>
                <w:rFonts w:hint="eastAsia" w:ascii="宋体" w:hAnsi="宋体" w:cs="宋体"/>
                <w:color w:val="FF0000"/>
                <w:sz w:val="21"/>
                <w:szCs w:val="21"/>
                <w:highlight w:val="none"/>
                <w:lang w:eastAsia="zh-CN"/>
              </w:rPr>
              <w:t>雷鸣</w:t>
            </w:r>
          </w:p>
        </w:tc>
        <w:tc>
          <w:tcPr>
            <w:tcW w:w="1559" w:type="dxa"/>
            <w:noWrap w:val="0"/>
            <w:vAlign w:val="top"/>
          </w:tcPr>
          <w:p>
            <w:pPr>
              <w:spacing w:line="320" w:lineRule="exact"/>
              <w:jc w:val="center"/>
              <w:rPr>
                <w:color w:val="FF0000"/>
                <w:sz w:val="21"/>
                <w:szCs w:val="21"/>
                <w:highlight w:val="none"/>
              </w:rPr>
            </w:pPr>
            <w:r>
              <w:rPr>
                <w:rFonts w:hint="eastAsia" w:ascii="宋体" w:hAnsi="宋体" w:cs="宋体"/>
                <w:color w:val="FF0000"/>
                <w:sz w:val="21"/>
                <w:szCs w:val="21"/>
                <w:highlight w:val="none"/>
                <w:lang w:eastAsia="zh-CN"/>
              </w:rPr>
              <w:t>加油员</w:t>
            </w:r>
          </w:p>
        </w:tc>
        <w:tc>
          <w:tcPr>
            <w:tcW w:w="6095" w:type="dxa"/>
            <w:vMerge w:val="continue"/>
            <w:noWrap w:val="0"/>
            <w:vAlign w:val="center"/>
          </w:tcPr>
          <w:p>
            <w:pPr>
              <w:spacing w:line="320" w:lineRule="exact"/>
              <w:jc w:val="center"/>
              <w:rPr>
                <w:color w:val="000000"/>
                <w:sz w:val="21"/>
                <w:szCs w:val="21"/>
                <w:highlight w:val="none"/>
              </w:rPr>
            </w:pPr>
          </w:p>
        </w:tc>
        <w:tc>
          <w:tcPr>
            <w:tcW w:w="1844" w:type="dxa"/>
            <w:noWrap w:val="0"/>
            <w:vAlign w:val="center"/>
          </w:tcPr>
          <w:p>
            <w:pPr>
              <w:spacing w:line="320" w:lineRule="exact"/>
              <w:jc w:val="center"/>
              <w:rPr>
                <w:color w:val="FF0000"/>
                <w:sz w:val="21"/>
                <w:szCs w:val="21"/>
                <w:highlight w:val="none"/>
              </w:rPr>
            </w:pPr>
            <w:r>
              <w:rPr>
                <w:rFonts w:hint="eastAsia"/>
                <w:color w:val="FF0000"/>
                <w:sz w:val="21"/>
                <w:szCs w:val="21"/>
                <w:highlight w:val="none"/>
                <w:lang w:val="en-US" w:eastAsia="zh-CN"/>
              </w:rPr>
              <w:t>13979169210</w:t>
            </w:r>
          </w:p>
        </w:tc>
        <w:tc>
          <w:tcPr>
            <w:tcW w:w="2373" w:type="dxa"/>
            <w:noWrap w:val="0"/>
            <w:vAlign w:val="center"/>
          </w:tcPr>
          <w:p>
            <w:pPr>
              <w:spacing w:line="320" w:lineRule="exact"/>
              <w:jc w:val="center"/>
              <w:rPr>
                <w:color w:val="000000"/>
                <w:sz w:val="21"/>
                <w:szCs w:val="21"/>
                <w:highlight w:val="none"/>
              </w:rPr>
            </w:pPr>
            <w:r>
              <w:rPr>
                <w:rFonts w:hAnsi="宋体"/>
                <w:color w:val="000000"/>
                <w:sz w:val="21"/>
                <w:szCs w:val="21"/>
                <w:highlight w:val="none"/>
              </w:rPr>
              <w:t>应急保障组组长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101" w:type="dxa"/>
            <w:vMerge w:val="continue"/>
            <w:noWrap w:val="0"/>
            <w:vAlign w:val="center"/>
          </w:tcPr>
          <w:p>
            <w:pPr>
              <w:spacing w:line="320" w:lineRule="exact"/>
              <w:jc w:val="center"/>
              <w:rPr>
                <w:color w:val="000000"/>
                <w:sz w:val="21"/>
                <w:szCs w:val="21"/>
                <w:highlight w:val="none"/>
              </w:rPr>
            </w:pPr>
          </w:p>
        </w:tc>
        <w:tc>
          <w:tcPr>
            <w:tcW w:w="1134" w:type="dxa"/>
            <w:noWrap w:val="0"/>
            <w:vAlign w:val="center"/>
          </w:tcPr>
          <w:p>
            <w:pPr>
              <w:spacing w:line="320" w:lineRule="exact"/>
              <w:jc w:val="center"/>
              <w:rPr>
                <w:rFonts w:ascii="宋体" w:hAnsi="宋体" w:cs="宋体"/>
                <w:color w:val="FF0000"/>
                <w:sz w:val="21"/>
                <w:szCs w:val="21"/>
                <w:highlight w:val="none"/>
              </w:rPr>
            </w:pPr>
            <w:r>
              <w:rPr>
                <w:rFonts w:hint="eastAsia" w:ascii="宋体" w:hAnsi="宋体" w:cs="宋体"/>
                <w:color w:val="FF0000"/>
                <w:sz w:val="21"/>
                <w:szCs w:val="21"/>
                <w:highlight w:val="none"/>
                <w:lang w:eastAsia="zh-CN"/>
              </w:rPr>
              <w:t>付艳琴</w:t>
            </w:r>
          </w:p>
        </w:tc>
        <w:tc>
          <w:tcPr>
            <w:tcW w:w="1559" w:type="dxa"/>
            <w:noWrap w:val="0"/>
            <w:vAlign w:val="top"/>
          </w:tcPr>
          <w:p>
            <w:pPr>
              <w:spacing w:line="320" w:lineRule="exact"/>
              <w:jc w:val="center"/>
              <w:rPr>
                <w:color w:val="FF0000"/>
                <w:sz w:val="21"/>
                <w:szCs w:val="21"/>
                <w:highlight w:val="none"/>
              </w:rPr>
            </w:pPr>
            <w:r>
              <w:rPr>
                <w:rFonts w:hint="eastAsia" w:ascii="宋体" w:hAnsi="宋体" w:cs="宋体"/>
                <w:color w:val="FF0000"/>
                <w:sz w:val="21"/>
                <w:szCs w:val="21"/>
                <w:highlight w:val="none"/>
                <w:lang w:eastAsia="zh-CN"/>
              </w:rPr>
              <w:t>加油员</w:t>
            </w:r>
          </w:p>
        </w:tc>
        <w:tc>
          <w:tcPr>
            <w:tcW w:w="6095" w:type="dxa"/>
            <w:vMerge w:val="continue"/>
            <w:noWrap w:val="0"/>
            <w:vAlign w:val="center"/>
          </w:tcPr>
          <w:p>
            <w:pPr>
              <w:spacing w:line="320" w:lineRule="exact"/>
              <w:jc w:val="center"/>
              <w:rPr>
                <w:color w:val="000000"/>
                <w:sz w:val="21"/>
                <w:szCs w:val="21"/>
                <w:highlight w:val="none"/>
              </w:rPr>
            </w:pPr>
          </w:p>
        </w:tc>
        <w:tc>
          <w:tcPr>
            <w:tcW w:w="1844" w:type="dxa"/>
            <w:noWrap w:val="0"/>
            <w:vAlign w:val="center"/>
          </w:tcPr>
          <w:p>
            <w:pPr>
              <w:spacing w:line="320" w:lineRule="exact"/>
              <w:jc w:val="center"/>
              <w:rPr>
                <w:color w:val="FF0000"/>
                <w:sz w:val="21"/>
                <w:szCs w:val="21"/>
                <w:highlight w:val="none"/>
              </w:rPr>
            </w:pPr>
            <w:r>
              <w:rPr>
                <w:rFonts w:hint="eastAsia"/>
                <w:color w:val="FF0000"/>
                <w:sz w:val="21"/>
                <w:szCs w:val="21"/>
                <w:highlight w:val="none"/>
                <w:lang w:val="en-US" w:eastAsia="zh-CN"/>
              </w:rPr>
              <w:t>15070930822</w:t>
            </w:r>
          </w:p>
        </w:tc>
        <w:tc>
          <w:tcPr>
            <w:tcW w:w="2373" w:type="dxa"/>
            <w:noWrap w:val="0"/>
            <w:vAlign w:val="center"/>
          </w:tcPr>
          <w:p>
            <w:pPr>
              <w:spacing w:line="320" w:lineRule="exact"/>
              <w:jc w:val="center"/>
              <w:rPr>
                <w:color w:val="000000"/>
                <w:sz w:val="21"/>
                <w:szCs w:val="21"/>
                <w:highlight w:val="none"/>
              </w:rPr>
            </w:pPr>
            <w:r>
              <w:rPr>
                <w:rFonts w:hAnsi="宋体"/>
                <w:color w:val="000000"/>
                <w:sz w:val="21"/>
                <w:szCs w:val="21"/>
                <w:highlight w:val="none"/>
              </w:rPr>
              <w:t>医疗救护组组长</w:t>
            </w:r>
          </w:p>
        </w:tc>
      </w:tr>
      <w:bookmarkEnd w:id="564"/>
    </w:tbl>
    <w:p>
      <w:pPr>
        <w:adjustRightInd w:val="0"/>
        <w:snapToGrid w:val="0"/>
        <w:spacing w:line="440" w:lineRule="exact"/>
        <w:jc w:val="center"/>
        <w:rPr>
          <w:rFonts w:hAnsi="宋体"/>
          <w:b/>
          <w:color w:val="000000"/>
          <w:kern w:val="0"/>
          <w:szCs w:val="21"/>
        </w:rPr>
      </w:pPr>
    </w:p>
    <w:p>
      <w:pPr>
        <w:adjustRightInd w:val="0"/>
        <w:snapToGrid w:val="0"/>
        <w:spacing w:line="440" w:lineRule="exact"/>
        <w:jc w:val="center"/>
        <w:rPr>
          <w:rFonts w:hAnsi="宋体"/>
          <w:b/>
          <w:color w:val="000000"/>
          <w:kern w:val="0"/>
          <w:szCs w:val="21"/>
        </w:rPr>
      </w:pPr>
    </w:p>
    <w:p>
      <w:pPr>
        <w:adjustRightInd w:val="0"/>
        <w:snapToGrid w:val="0"/>
        <w:jc w:val="center"/>
        <w:rPr>
          <w:rFonts w:hAnsi="宋体"/>
          <w:b/>
          <w:color w:val="000000"/>
          <w:kern w:val="0"/>
          <w:szCs w:val="21"/>
        </w:rPr>
      </w:pPr>
    </w:p>
    <w:p>
      <w:pPr>
        <w:adjustRightInd w:val="0"/>
        <w:snapToGrid w:val="0"/>
        <w:jc w:val="center"/>
        <w:rPr>
          <w:rFonts w:hAnsi="宋体"/>
          <w:b/>
          <w:color w:val="000000"/>
          <w:kern w:val="0"/>
          <w:szCs w:val="21"/>
        </w:rPr>
      </w:pPr>
    </w:p>
    <w:p>
      <w:pPr>
        <w:spacing w:before="156" w:beforeLines="50" w:after="156" w:afterLines="50"/>
        <w:jc w:val="center"/>
        <w:rPr>
          <w:b/>
          <w:kern w:val="0"/>
          <w:szCs w:val="21"/>
        </w:rPr>
        <w:sectPr>
          <w:headerReference r:id="rId10" w:type="default"/>
          <w:pgSz w:w="16838" w:h="11906" w:orient="landscape"/>
          <w:pgMar w:top="1800" w:right="1440" w:bottom="1800" w:left="1440" w:header="851" w:footer="992" w:gutter="0"/>
          <w:cols w:space="425" w:num="1"/>
          <w:docGrid w:type="lines" w:linePitch="312" w:charSpace="0"/>
        </w:sectPr>
      </w:pPr>
    </w:p>
    <w:p>
      <w:pPr>
        <w:spacing w:before="156" w:beforeLines="50" w:after="156" w:afterLines="50"/>
        <w:jc w:val="center"/>
        <w:rPr>
          <w:rFonts w:hint="eastAsia"/>
          <w:b/>
          <w:kern w:val="0"/>
          <w:szCs w:val="21"/>
        </w:rPr>
      </w:pPr>
      <w:r>
        <w:rPr>
          <w:rFonts w:hint="eastAsia"/>
          <w:b/>
          <w:kern w:val="0"/>
          <w:szCs w:val="21"/>
        </w:rPr>
        <w:t>表2  各应急响应小组及职责</w:t>
      </w:r>
    </w:p>
    <w:tbl>
      <w:tblPr>
        <w:tblStyle w:val="31"/>
        <w:tblW w:w="1410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7"/>
        <w:gridCol w:w="2102"/>
        <w:gridCol w:w="10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1817" w:type="dxa"/>
            <w:noWrap w:val="0"/>
            <w:vAlign w:val="center"/>
          </w:tcPr>
          <w:p>
            <w:pPr>
              <w:spacing w:line="320" w:lineRule="exact"/>
              <w:jc w:val="center"/>
              <w:rPr>
                <w:color w:val="000000"/>
                <w:sz w:val="21"/>
              </w:rPr>
            </w:pPr>
            <w:bookmarkStart w:id="565" w:name="_Hlk9945686"/>
            <w:r>
              <w:rPr>
                <w:rFonts w:hAnsi="宋体"/>
                <w:color w:val="000000"/>
                <w:sz w:val="21"/>
              </w:rPr>
              <w:t>所在组别</w:t>
            </w:r>
          </w:p>
        </w:tc>
        <w:tc>
          <w:tcPr>
            <w:tcW w:w="2102" w:type="dxa"/>
            <w:noWrap w:val="0"/>
            <w:vAlign w:val="center"/>
          </w:tcPr>
          <w:p>
            <w:pPr>
              <w:spacing w:line="320" w:lineRule="exact"/>
              <w:jc w:val="center"/>
              <w:rPr>
                <w:color w:val="000000"/>
                <w:sz w:val="21"/>
              </w:rPr>
            </w:pPr>
            <w:r>
              <w:rPr>
                <w:rFonts w:hAnsi="宋体"/>
                <w:color w:val="000000"/>
                <w:sz w:val="21"/>
              </w:rPr>
              <w:t>责任人</w:t>
            </w:r>
          </w:p>
        </w:tc>
        <w:tc>
          <w:tcPr>
            <w:tcW w:w="10187" w:type="dxa"/>
            <w:noWrap w:val="0"/>
            <w:vAlign w:val="center"/>
          </w:tcPr>
          <w:p>
            <w:pPr>
              <w:spacing w:line="320" w:lineRule="exact"/>
              <w:jc w:val="center"/>
              <w:rPr>
                <w:color w:val="000000"/>
                <w:sz w:val="21"/>
              </w:rPr>
            </w:pPr>
            <w:r>
              <w:rPr>
                <w:rFonts w:hAnsi="宋体"/>
                <w:color w:val="000000"/>
                <w:sz w:val="21"/>
              </w:rPr>
              <w:t>主要职责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817" w:type="dxa"/>
            <w:noWrap w:val="0"/>
            <w:vAlign w:val="center"/>
          </w:tcPr>
          <w:p>
            <w:pPr>
              <w:spacing w:line="320" w:lineRule="exact"/>
              <w:jc w:val="center"/>
              <w:rPr>
                <w:color w:val="000000"/>
                <w:sz w:val="21"/>
              </w:rPr>
            </w:pPr>
            <w:r>
              <w:rPr>
                <w:rFonts w:hAnsi="宋体"/>
                <w:color w:val="000000"/>
                <w:sz w:val="21"/>
              </w:rPr>
              <w:t>污染处置组</w:t>
            </w:r>
          </w:p>
        </w:tc>
        <w:tc>
          <w:tcPr>
            <w:tcW w:w="2102" w:type="dxa"/>
            <w:noWrap w:val="0"/>
            <w:vAlign w:val="center"/>
          </w:tcPr>
          <w:p>
            <w:pPr>
              <w:spacing w:line="320" w:lineRule="exact"/>
              <w:jc w:val="center"/>
              <w:rPr>
                <w:color w:val="000000"/>
                <w:sz w:val="21"/>
              </w:rPr>
            </w:pPr>
            <w:r>
              <w:rPr>
                <w:rFonts w:hint="eastAsia"/>
                <w:color w:val="FF0000"/>
                <w:sz w:val="21"/>
                <w:szCs w:val="21"/>
                <w:highlight w:val="none"/>
                <w:lang w:eastAsia="zh-CN"/>
              </w:rPr>
              <w:t>熊雄</w:t>
            </w:r>
          </w:p>
        </w:tc>
        <w:tc>
          <w:tcPr>
            <w:tcW w:w="10187" w:type="dxa"/>
            <w:noWrap w:val="0"/>
            <w:vAlign w:val="center"/>
          </w:tcPr>
          <w:p>
            <w:pPr>
              <w:spacing w:line="320" w:lineRule="exact"/>
              <w:jc w:val="center"/>
              <w:rPr>
                <w:color w:val="000000"/>
                <w:sz w:val="21"/>
              </w:rPr>
            </w:pPr>
            <w:r>
              <w:rPr>
                <w:rFonts w:hAnsi="宋体"/>
                <w:color w:val="000000"/>
                <w:sz w:val="21"/>
              </w:rPr>
              <w:t>收集汇总相关数据，及时掌握突发环境事件的地点及影响范围，组织进行技术研判，开展事态分析；迅速组织切断污染源，分析污染途径，确定防止污染物扩散的程序；组织采取有效措施，消除或减轻已经造成的污染；明确不同情况下的现场处置人员须采取的个人防护措施；组织建立现场警戒区和交通管制区域，确定重点防护区域，确定受威胁人员疏散的方式和途径，疏散转移受威胁人员至安全紧急避险场所；应急物资的保管及维护，及时上报需购置的应急物资清单。完成指挥部交办的其他事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817" w:type="dxa"/>
            <w:noWrap w:val="0"/>
            <w:vAlign w:val="center"/>
          </w:tcPr>
          <w:p>
            <w:pPr>
              <w:spacing w:line="320" w:lineRule="exact"/>
              <w:jc w:val="center"/>
              <w:rPr>
                <w:color w:val="000000"/>
                <w:sz w:val="21"/>
              </w:rPr>
            </w:pPr>
            <w:r>
              <w:rPr>
                <w:rFonts w:hAnsi="宋体"/>
                <w:color w:val="000000"/>
                <w:sz w:val="21"/>
              </w:rPr>
              <w:t>应急监测组</w:t>
            </w:r>
          </w:p>
        </w:tc>
        <w:tc>
          <w:tcPr>
            <w:tcW w:w="2102" w:type="dxa"/>
            <w:noWrap w:val="0"/>
            <w:vAlign w:val="center"/>
          </w:tcPr>
          <w:p>
            <w:pPr>
              <w:jc w:val="center"/>
              <w:rPr>
                <w:color w:val="000000"/>
                <w:sz w:val="21"/>
              </w:rPr>
            </w:pPr>
            <w:r>
              <w:rPr>
                <w:rFonts w:hint="eastAsia"/>
                <w:color w:val="FF0000"/>
                <w:sz w:val="21"/>
                <w:szCs w:val="21"/>
                <w:highlight w:val="none"/>
              </w:rPr>
              <w:t>熊海媛</w:t>
            </w:r>
          </w:p>
        </w:tc>
        <w:tc>
          <w:tcPr>
            <w:tcW w:w="10187" w:type="dxa"/>
            <w:noWrap w:val="0"/>
            <w:vAlign w:val="center"/>
          </w:tcPr>
          <w:p>
            <w:pPr>
              <w:spacing w:line="320" w:lineRule="exact"/>
              <w:jc w:val="center"/>
              <w:rPr>
                <w:color w:val="000000"/>
                <w:sz w:val="21"/>
              </w:rPr>
            </w:pPr>
            <w:r>
              <w:rPr>
                <w:rFonts w:hAnsi="宋体"/>
                <w:color w:val="000000"/>
                <w:sz w:val="21"/>
              </w:rPr>
              <w:t>联系外部单位进行应急监测，确定事故的影响范围。完成指挥部交办的其他事宜。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817" w:type="dxa"/>
            <w:noWrap w:val="0"/>
            <w:vAlign w:val="center"/>
          </w:tcPr>
          <w:p>
            <w:pPr>
              <w:spacing w:line="320" w:lineRule="exact"/>
              <w:jc w:val="center"/>
              <w:rPr>
                <w:color w:val="000000"/>
                <w:sz w:val="21"/>
              </w:rPr>
            </w:pPr>
            <w:r>
              <w:rPr>
                <w:rFonts w:hAnsi="宋体"/>
                <w:color w:val="000000"/>
                <w:sz w:val="21"/>
              </w:rPr>
              <w:t>应急保障组</w:t>
            </w:r>
          </w:p>
        </w:tc>
        <w:tc>
          <w:tcPr>
            <w:tcW w:w="2102" w:type="dxa"/>
            <w:noWrap w:val="0"/>
            <w:vAlign w:val="center"/>
          </w:tcPr>
          <w:p>
            <w:pPr>
              <w:spacing w:line="320" w:lineRule="exact"/>
              <w:jc w:val="center"/>
              <w:rPr>
                <w:color w:val="000000"/>
                <w:sz w:val="21"/>
              </w:rPr>
            </w:pPr>
            <w:r>
              <w:rPr>
                <w:rFonts w:hint="eastAsia" w:ascii="宋体" w:hAnsi="宋体" w:cs="宋体"/>
                <w:color w:val="FF0000"/>
                <w:sz w:val="21"/>
                <w:szCs w:val="21"/>
                <w:highlight w:val="none"/>
                <w:lang w:eastAsia="zh-CN"/>
              </w:rPr>
              <w:t>李荣</w:t>
            </w:r>
          </w:p>
        </w:tc>
        <w:tc>
          <w:tcPr>
            <w:tcW w:w="10187" w:type="dxa"/>
            <w:noWrap w:val="0"/>
            <w:vAlign w:val="center"/>
          </w:tcPr>
          <w:p>
            <w:pPr>
              <w:spacing w:line="320" w:lineRule="exact"/>
              <w:jc w:val="center"/>
              <w:rPr>
                <w:color w:val="000000"/>
                <w:sz w:val="21"/>
              </w:rPr>
            </w:pPr>
            <w:r>
              <w:rPr>
                <w:rFonts w:hAnsi="宋体"/>
                <w:color w:val="000000"/>
                <w:sz w:val="21"/>
              </w:rPr>
              <w:t>负责应急物资的采购和维护；完成指挥部交办的其他事宜。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817" w:type="dxa"/>
            <w:noWrap w:val="0"/>
            <w:vAlign w:val="center"/>
          </w:tcPr>
          <w:p>
            <w:pPr>
              <w:spacing w:line="320" w:lineRule="exact"/>
              <w:jc w:val="center"/>
              <w:rPr>
                <w:color w:val="000000"/>
                <w:sz w:val="21"/>
                <w:highlight w:val="yellow"/>
              </w:rPr>
            </w:pPr>
            <w:r>
              <w:rPr>
                <w:rFonts w:hAnsi="宋体"/>
                <w:color w:val="000000"/>
                <w:sz w:val="21"/>
                <w:highlight w:val="yellow"/>
              </w:rPr>
              <w:t>医疗救护组</w:t>
            </w:r>
          </w:p>
        </w:tc>
        <w:tc>
          <w:tcPr>
            <w:tcW w:w="2102" w:type="dxa"/>
            <w:noWrap w:val="0"/>
            <w:vAlign w:val="center"/>
          </w:tcPr>
          <w:p>
            <w:pPr>
              <w:spacing w:line="320" w:lineRule="exact"/>
              <w:jc w:val="center"/>
              <w:rPr>
                <w:color w:val="000000"/>
                <w:sz w:val="21"/>
              </w:rPr>
            </w:pPr>
            <w:r>
              <w:rPr>
                <w:rFonts w:hint="eastAsia"/>
                <w:color w:val="FF0000"/>
                <w:sz w:val="21"/>
                <w:szCs w:val="21"/>
                <w:highlight w:val="none"/>
              </w:rPr>
              <w:t>张徐华</w:t>
            </w:r>
          </w:p>
        </w:tc>
        <w:tc>
          <w:tcPr>
            <w:tcW w:w="10187" w:type="dxa"/>
            <w:noWrap w:val="0"/>
            <w:vAlign w:val="center"/>
          </w:tcPr>
          <w:p>
            <w:pPr>
              <w:spacing w:line="320" w:lineRule="exact"/>
              <w:jc w:val="center"/>
              <w:rPr>
                <w:color w:val="000000"/>
                <w:sz w:val="21"/>
              </w:rPr>
            </w:pPr>
            <w:r>
              <w:rPr>
                <w:rFonts w:hAnsi="宋体"/>
                <w:color w:val="000000"/>
                <w:sz w:val="21"/>
              </w:rPr>
              <w:t>受伤人员的紧急救治及送医；完成指挥部交办的其他事宜。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817" w:type="dxa"/>
            <w:noWrap w:val="0"/>
            <w:vAlign w:val="center"/>
          </w:tcPr>
          <w:p>
            <w:pPr>
              <w:spacing w:line="320" w:lineRule="exact"/>
              <w:jc w:val="center"/>
              <w:rPr>
                <w:color w:val="000000"/>
                <w:sz w:val="21"/>
                <w:highlight w:val="yellow"/>
              </w:rPr>
            </w:pPr>
            <w:r>
              <w:rPr>
                <w:rFonts w:hAnsi="宋体"/>
                <w:color w:val="000000"/>
                <w:sz w:val="21"/>
                <w:highlight w:val="yellow"/>
              </w:rPr>
              <w:t>社会稳定组</w:t>
            </w:r>
          </w:p>
        </w:tc>
        <w:tc>
          <w:tcPr>
            <w:tcW w:w="2102" w:type="dxa"/>
            <w:noWrap w:val="0"/>
            <w:vAlign w:val="center"/>
          </w:tcPr>
          <w:p>
            <w:pPr>
              <w:spacing w:line="320" w:lineRule="exact"/>
              <w:jc w:val="center"/>
              <w:rPr>
                <w:color w:val="000000"/>
                <w:sz w:val="21"/>
              </w:rPr>
            </w:pPr>
            <w:r>
              <w:rPr>
                <w:rFonts w:hint="eastAsia" w:ascii="宋体" w:hAnsi="宋体" w:cs="宋体"/>
                <w:color w:val="FF0000"/>
                <w:sz w:val="21"/>
                <w:szCs w:val="21"/>
                <w:highlight w:val="none"/>
                <w:lang w:eastAsia="zh-CN"/>
              </w:rPr>
              <w:t>雷鸣</w:t>
            </w:r>
          </w:p>
        </w:tc>
        <w:tc>
          <w:tcPr>
            <w:tcW w:w="10187" w:type="dxa"/>
            <w:noWrap w:val="0"/>
            <w:vAlign w:val="center"/>
          </w:tcPr>
          <w:p>
            <w:pPr>
              <w:spacing w:line="320" w:lineRule="exact"/>
              <w:jc w:val="center"/>
              <w:rPr>
                <w:color w:val="000000"/>
                <w:sz w:val="21"/>
              </w:rPr>
            </w:pPr>
            <w:r>
              <w:rPr>
                <w:rFonts w:hAnsi="宋体"/>
                <w:color w:val="000000"/>
                <w:sz w:val="21"/>
              </w:rPr>
              <w:t>做好与受影响单位、个人的纠纷处置工作；配合县社会稳定组的工作；完成指挥部交办的其他事宜。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 w:hRule="atLeast"/>
          <w:jc w:val="center"/>
        </w:trPr>
        <w:tc>
          <w:tcPr>
            <w:tcW w:w="1817" w:type="dxa"/>
            <w:noWrap w:val="0"/>
            <w:vAlign w:val="center"/>
          </w:tcPr>
          <w:p>
            <w:pPr>
              <w:spacing w:line="320" w:lineRule="exact"/>
              <w:jc w:val="center"/>
              <w:rPr>
                <w:color w:val="000000"/>
                <w:sz w:val="21"/>
                <w:highlight w:val="yellow"/>
              </w:rPr>
            </w:pPr>
            <w:r>
              <w:rPr>
                <w:rFonts w:hAnsi="宋体"/>
                <w:color w:val="000000"/>
                <w:sz w:val="21"/>
                <w:highlight w:val="yellow"/>
              </w:rPr>
              <w:t>新闻宣传组</w:t>
            </w:r>
          </w:p>
        </w:tc>
        <w:tc>
          <w:tcPr>
            <w:tcW w:w="2102" w:type="dxa"/>
            <w:noWrap w:val="0"/>
            <w:vAlign w:val="center"/>
          </w:tcPr>
          <w:p>
            <w:pPr>
              <w:spacing w:line="320" w:lineRule="exact"/>
              <w:jc w:val="center"/>
              <w:rPr>
                <w:color w:val="000000"/>
                <w:sz w:val="21"/>
              </w:rPr>
            </w:pPr>
            <w:r>
              <w:rPr>
                <w:rFonts w:hint="eastAsia" w:ascii="宋体" w:hAnsi="宋体" w:cs="宋体"/>
                <w:color w:val="FF0000"/>
                <w:sz w:val="21"/>
                <w:szCs w:val="21"/>
                <w:highlight w:val="none"/>
                <w:lang w:eastAsia="zh-CN"/>
              </w:rPr>
              <w:t>付艳琴</w:t>
            </w:r>
          </w:p>
        </w:tc>
        <w:tc>
          <w:tcPr>
            <w:tcW w:w="10187" w:type="dxa"/>
            <w:noWrap w:val="0"/>
            <w:vAlign w:val="center"/>
          </w:tcPr>
          <w:p>
            <w:pPr>
              <w:spacing w:line="320" w:lineRule="exact"/>
              <w:jc w:val="center"/>
              <w:rPr>
                <w:color w:val="000000"/>
                <w:sz w:val="21"/>
              </w:rPr>
            </w:pPr>
            <w:r>
              <w:rPr>
                <w:rFonts w:hAnsi="宋体"/>
                <w:color w:val="000000"/>
                <w:sz w:val="21"/>
              </w:rPr>
              <w:t>做好公司和突发环境事件工作的对外宣传，配合县新闻宣传组完成工作；完成指挥部交办的其他事宜。</w:t>
            </w:r>
          </w:p>
        </w:tc>
      </w:tr>
      <w:bookmarkEnd w:id="565"/>
    </w:tbl>
    <w:p>
      <w:pPr>
        <w:shd w:val="clear" w:color="auto" w:fill="FFFFFF"/>
        <w:autoSpaceDE w:val="0"/>
        <w:spacing w:line="440" w:lineRule="exact"/>
        <w:ind w:firstLine="420" w:firstLineChars="200"/>
        <w:jc w:val="left"/>
        <w:rPr>
          <w:rFonts w:hAnsi="宋体"/>
          <w:kern w:val="0"/>
          <w:szCs w:val="21"/>
        </w:rPr>
      </w:pPr>
      <w:r>
        <w:rPr>
          <w:rFonts w:hint="eastAsia" w:hAnsi="宋体"/>
          <w:kern w:val="0"/>
          <w:szCs w:val="21"/>
        </w:rPr>
        <w:t>应急小组；企业应急小组设置与县突发环境事件应急预案小组设置一一对应，在启动区突发环境事件应急预案时，配合相对应政府应急工作组开展工作。</w:t>
      </w:r>
    </w:p>
    <w:p>
      <w:pPr>
        <w:spacing w:before="156" w:beforeLines="50" w:line="500" w:lineRule="exact"/>
        <w:jc w:val="center"/>
        <w:rPr>
          <w:b/>
          <w:snapToGrid w:val="0"/>
          <w:spacing w:val="4"/>
          <w:kern w:val="0"/>
          <w:sz w:val="24"/>
        </w:rPr>
      </w:pPr>
    </w:p>
    <w:p>
      <w:pPr>
        <w:spacing w:before="156" w:beforeLines="50" w:after="156" w:afterLines="50"/>
        <w:jc w:val="center"/>
        <w:rPr>
          <w:b/>
          <w:kern w:val="0"/>
          <w:szCs w:val="21"/>
        </w:rPr>
        <w:sectPr>
          <w:pgSz w:w="16838" w:h="11906" w:orient="landscape"/>
          <w:pgMar w:top="1800" w:right="1440" w:bottom="1800" w:left="1440" w:header="851" w:footer="992" w:gutter="0"/>
          <w:cols w:space="425" w:num="1"/>
          <w:docGrid w:type="lines" w:linePitch="312" w:charSpace="0"/>
        </w:sectPr>
      </w:pPr>
    </w:p>
    <w:p>
      <w:pPr>
        <w:spacing w:line="440" w:lineRule="exact"/>
        <w:jc w:val="center"/>
        <w:rPr>
          <w:rFonts w:hint="eastAsia" w:hAnsi="宋体"/>
          <w:b/>
          <w:szCs w:val="28"/>
        </w:rPr>
      </w:pPr>
      <w:r>
        <w:rPr>
          <w:rFonts w:hint="eastAsia" w:hAnsi="宋体"/>
          <w:b/>
          <w:szCs w:val="28"/>
        </w:rPr>
        <w:t>表3  外部救援单位</w:t>
      </w:r>
    </w:p>
    <w:tbl>
      <w:tblPr>
        <w:tblStyle w:val="31"/>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4"/>
        <w:gridCol w:w="3432"/>
        <w:gridCol w:w="1504"/>
        <w:gridCol w:w="2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14" w:type="dxa"/>
            <w:noWrap w:val="0"/>
            <w:vAlign w:val="center"/>
          </w:tcPr>
          <w:p>
            <w:pPr>
              <w:spacing w:line="320" w:lineRule="exact"/>
              <w:jc w:val="center"/>
              <w:rPr>
                <w:rFonts w:hAnsi="宋体"/>
                <w:color w:val="2E15CB"/>
                <w:spacing w:val="0"/>
                <w:sz w:val="21"/>
              </w:rPr>
            </w:pPr>
            <w:r>
              <w:rPr>
                <w:rFonts w:hAnsi="宋体"/>
                <w:color w:val="2E15CB"/>
                <w:spacing w:val="0"/>
                <w:sz w:val="21"/>
              </w:rPr>
              <w:t>序号</w:t>
            </w:r>
          </w:p>
        </w:tc>
        <w:tc>
          <w:tcPr>
            <w:tcW w:w="3432" w:type="dxa"/>
            <w:noWrap w:val="0"/>
            <w:vAlign w:val="center"/>
          </w:tcPr>
          <w:p>
            <w:pPr>
              <w:spacing w:line="320" w:lineRule="exact"/>
              <w:jc w:val="center"/>
              <w:rPr>
                <w:rFonts w:hAnsi="宋体"/>
                <w:color w:val="2E15CB"/>
                <w:spacing w:val="0"/>
                <w:sz w:val="21"/>
              </w:rPr>
            </w:pPr>
            <w:r>
              <w:rPr>
                <w:rFonts w:hAnsi="宋体"/>
                <w:color w:val="2E15CB"/>
                <w:spacing w:val="0"/>
                <w:sz w:val="21"/>
              </w:rPr>
              <w:t>单位</w:t>
            </w:r>
          </w:p>
        </w:tc>
        <w:tc>
          <w:tcPr>
            <w:tcW w:w="1504" w:type="dxa"/>
            <w:noWrap w:val="0"/>
            <w:vAlign w:val="center"/>
          </w:tcPr>
          <w:p>
            <w:pPr>
              <w:spacing w:line="320" w:lineRule="exact"/>
              <w:jc w:val="center"/>
              <w:rPr>
                <w:rFonts w:hAnsi="宋体"/>
                <w:color w:val="2E15CB"/>
                <w:spacing w:val="0"/>
                <w:sz w:val="21"/>
              </w:rPr>
            </w:pPr>
            <w:r>
              <w:rPr>
                <w:rFonts w:hAnsi="宋体"/>
                <w:color w:val="2E15CB"/>
                <w:spacing w:val="0"/>
                <w:sz w:val="21"/>
              </w:rPr>
              <w:t>联系人</w:t>
            </w:r>
          </w:p>
        </w:tc>
        <w:tc>
          <w:tcPr>
            <w:tcW w:w="2754" w:type="dxa"/>
            <w:noWrap w:val="0"/>
            <w:vAlign w:val="center"/>
          </w:tcPr>
          <w:p>
            <w:pPr>
              <w:spacing w:line="320" w:lineRule="exact"/>
              <w:jc w:val="center"/>
              <w:rPr>
                <w:rFonts w:hAnsi="宋体"/>
                <w:color w:val="2E15CB"/>
                <w:spacing w:val="0"/>
                <w:sz w:val="21"/>
              </w:rPr>
            </w:pPr>
            <w:r>
              <w:rPr>
                <w:rFonts w:hAnsi="宋体"/>
                <w:color w:val="2E15CB"/>
                <w:spacing w:val="0"/>
                <w:sz w:val="21"/>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14" w:type="dxa"/>
            <w:noWrap w:val="0"/>
            <w:vAlign w:val="center"/>
          </w:tcPr>
          <w:p>
            <w:pPr>
              <w:spacing w:line="320" w:lineRule="exact"/>
              <w:jc w:val="center"/>
              <w:rPr>
                <w:rFonts w:hAnsi="宋体"/>
                <w:bCs/>
                <w:color w:val="2E15CB"/>
                <w:spacing w:val="0"/>
                <w:sz w:val="21"/>
              </w:rPr>
            </w:pPr>
            <w:r>
              <w:rPr>
                <w:rFonts w:hAnsi="宋体"/>
                <w:bCs/>
                <w:color w:val="2E15CB"/>
                <w:spacing w:val="0"/>
                <w:sz w:val="21"/>
              </w:rPr>
              <w:t>1</w:t>
            </w:r>
          </w:p>
        </w:tc>
        <w:tc>
          <w:tcPr>
            <w:tcW w:w="3432" w:type="dxa"/>
            <w:noWrap w:val="0"/>
            <w:vAlign w:val="center"/>
          </w:tcPr>
          <w:p>
            <w:pPr>
              <w:spacing w:line="320" w:lineRule="exact"/>
              <w:jc w:val="center"/>
              <w:rPr>
                <w:rFonts w:hint="eastAsia" w:hAnsi="宋体" w:eastAsia="宋体"/>
                <w:bCs/>
                <w:color w:val="2E15CB"/>
                <w:spacing w:val="0"/>
                <w:sz w:val="21"/>
                <w:highlight w:val="yellow"/>
                <w:lang w:eastAsia="zh-CN"/>
              </w:rPr>
            </w:pPr>
            <w:r>
              <w:rPr>
                <w:rFonts w:hint="eastAsia" w:hAnsi="宋体"/>
                <w:bCs/>
                <w:color w:val="2E15CB"/>
                <w:spacing w:val="0"/>
                <w:sz w:val="21"/>
                <w:lang w:eastAsia="zh-CN"/>
              </w:rPr>
              <w:t>南昌市环保局红谷滩分局</w:t>
            </w:r>
          </w:p>
        </w:tc>
        <w:tc>
          <w:tcPr>
            <w:tcW w:w="1504" w:type="dxa"/>
            <w:noWrap w:val="0"/>
            <w:vAlign w:val="center"/>
          </w:tcPr>
          <w:p>
            <w:pPr>
              <w:spacing w:line="320" w:lineRule="exact"/>
              <w:jc w:val="center"/>
              <w:rPr>
                <w:rFonts w:hAnsi="宋体"/>
                <w:bCs/>
                <w:color w:val="2E15CB"/>
                <w:spacing w:val="0"/>
                <w:sz w:val="21"/>
                <w:highlight w:val="yellow"/>
              </w:rPr>
            </w:pPr>
            <w:r>
              <w:rPr>
                <w:rFonts w:hint="eastAsia" w:hAnsi="宋体"/>
                <w:bCs/>
                <w:color w:val="2E15CB"/>
                <w:spacing w:val="0"/>
                <w:sz w:val="21"/>
              </w:rPr>
              <w:t>值班人员</w:t>
            </w:r>
          </w:p>
        </w:tc>
        <w:tc>
          <w:tcPr>
            <w:tcW w:w="2754" w:type="dxa"/>
            <w:noWrap w:val="0"/>
            <w:vAlign w:val="center"/>
          </w:tcPr>
          <w:p>
            <w:pPr>
              <w:spacing w:line="320" w:lineRule="exact"/>
              <w:jc w:val="center"/>
              <w:rPr>
                <w:rFonts w:hAnsi="宋体"/>
                <w:bCs/>
                <w:color w:val="2E15CB"/>
                <w:spacing w:val="0"/>
                <w:sz w:val="21"/>
              </w:rPr>
            </w:pPr>
            <w:r>
              <w:rPr>
                <w:rFonts w:hint="eastAsia" w:hAnsi="宋体"/>
                <w:bCs/>
                <w:color w:val="2E15CB"/>
                <w:spacing w:val="0"/>
                <w:sz w:val="21"/>
              </w:rPr>
              <w:t>0791-86359137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14" w:type="dxa"/>
            <w:noWrap w:val="0"/>
            <w:vAlign w:val="center"/>
          </w:tcPr>
          <w:p>
            <w:pPr>
              <w:spacing w:line="320" w:lineRule="exact"/>
              <w:jc w:val="center"/>
              <w:rPr>
                <w:rFonts w:hAnsi="宋体"/>
                <w:bCs/>
                <w:color w:val="2E15CB"/>
                <w:spacing w:val="0"/>
                <w:sz w:val="21"/>
              </w:rPr>
            </w:pPr>
            <w:r>
              <w:rPr>
                <w:rFonts w:hAnsi="宋体"/>
                <w:bCs/>
                <w:color w:val="2E15CB"/>
                <w:spacing w:val="0"/>
                <w:sz w:val="21"/>
              </w:rPr>
              <w:t>2</w:t>
            </w:r>
          </w:p>
        </w:tc>
        <w:tc>
          <w:tcPr>
            <w:tcW w:w="3432" w:type="dxa"/>
            <w:noWrap w:val="0"/>
            <w:vAlign w:val="center"/>
          </w:tcPr>
          <w:p>
            <w:pPr>
              <w:spacing w:line="320" w:lineRule="exact"/>
              <w:jc w:val="center"/>
              <w:rPr>
                <w:rFonts w:hAnsi="宋体"/>
                <w:bCs/>
                <w:color w:val="2E15CB"/>
                <w:spacing w:val="0"/>
                <w:sz w:val="21"/>
              </w:rPr>
            </w:pPr>
            <w:r>
              <w:rPr>
                <w:rFonts w:hint="eastAsia" w:hAnsi="宋体"/>
                <w:bCs/>
                <w:color w:val="2E15CB"/>
                <w:spacing w:val="0"/>
                <w:sz w:val="21"/>
              </w:rPr>
              <w:t>南昌市</w:t>
            </w:r>
            <w:r>
              <w:rPr>
                <w:rFonts w:hint="eastAsia" w:hAnsi="宋体"/>
                <w:bCs/>
                <w:color w:val="2E15CB"/>
                <w:spacing w:val="0"/>
                <w:sz w:val="21"/>
                <w:lang w:eastAsia="zh-CN"/>
              </w:rPr>
              <w:t>红谷滩新区</w:t>
            </w:r>
            <w:r>
              <w:rPr>
                <w:rFonts w:hint="eastAsia" w:hAnsi="宋体"/>
                <w:bCs/>
                <w:color w:val="2E15CB"/>
                <w:spacing w:val="0"/>
                <w:sz w:val="21"/>
              </w:rPr>
              <w:t>人民政府</w:t>
            </w:r>
          </w:p>
        </w:tc>
        <w:tc>
          <w:tcPr>
            <w:tcW w:w="1504" w:type="dxa"/>
            <w:noWrap w:val="0"/>
            <w:vAlign w:val="center"/>
          </w:tcPr>
          <w:p>
            <w:pPr>
              <w:spacing w:line="400" w:lineRule="exact"/>
              <w:jc w:val="center"/>
              <w:rPr>
                <w:color w:val="2E15CB"/>
                <w:sz w:val="21"/>
              </w:rPr>
            </w:pPr>
            <w:r>
              <w:rPr>
                <w:color w:val="2E15CB"/>
                <w:sz w:val="21"/>
              </w:rPr>
              <w:t>值班人员</w:t>
            </w:r>
          </w:p>
        </w:tc>
        <w:tc>
          <w:tcPr>
            <w:tcW w:w="2754" w:type="dxa"/>
            <w:noWrap w:val="0"/>
            <w:vAlign w:val="center"/>
          </w:tcPr>
          <w:p>
            <w:pPr>
              <w:spacing w:line="320" w:lineRule="exact"/>
              <w:jc w:val="center"/>
              <w:rPr>
                <w:rFonts w:hint="default" w:hAnsi="宋体" w:eastAsia="宋体"/>
                <w:bCs/>
                <w:color w:val="2E15CB"/>
                <w:spacing w:val="0"/>
                <w:sz w:val="21"/>
                <w:lang w:val="en-US" w:eastAsia="zh-CN"/>
              </w:rPr>
            </w:pPr>
            <w:r>
              <w:rPr>
                <w:rFonts w:hint="eastAsia" w:hAnsi="宋体"/>
                <w:bCs/>
                <w:color w:val="2E15CB"/>
                <w:spacing w:val="0"/>
                <w:sz w:val="21"/>
                <w:lang w:val="en-US" w:eastAsia="zh-CN"/>
              </w:rPr>
              <w:t>0791-83839670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14" w:type="dxa"/>
            <w:noWrap w:val="0"/>
            <w:vAlign w:val="center"/>
          </w:tcPr>
          <w:p>
            <w:pPr>
              <w:spacing w:line="320" w:lineRule="exact"/>
              <w:jc w:val="center"/>
              <w:rPr>
                <w:rFonts w:hAnsi="宋体"/>
                <w:bCs/>
                <w:color w:val="2E15CB"/>
                <w:spacing w:val="0"/>
                <w:sz w:val="21"/>
              </w:rPr>
            </w:pPr>
            <w:r>
              <w:rPr>
                <w:rFonts w:hAnsi="宋体"/>
                <w:bCs/>
                <w:color w:val="2E15CB"/>
                <w:spacing w:val="0"/>
                <w:sz w:val="21"/>
              </w:rPr>
              <w:t>3</w:t>
            </w:r>
          </w:p>
        </w:tc>
        <w:tc>
          <w:tcPr>
            <w:tcW w:w="3432" w:type="dxa"/>
            <w:noWrap w:val="0"/>
            <w:vAlign w:val="center"/>
          </w:tcPr>
          <w:p>
            <w:pPr>
              <w:spacing w:line="320" w:lineRule="exact"/>
              <w:jc w:val="center"/>
              <w:rPr>
                <w:rFonts w:hAnsi="宋体"/>
                <w:bCs/>
                <w:color w:val="2E15CB"/>
                <w:spacing w:val="0"/>
                <w:sz w:val="21"/>
              </w:rPr>
            </w:pPr>
            <w:r>
              <w:rPr>
                <w:rFonts w:hint="eastAsia" w:hAnsi="宋体"/>
                <w:bCs/>
                <w:color w:val="2E15CB"/>
                <w:spacing w:val="0"/>
                <w:sz w:val="21"/>
              </w:rPr>
              <w:t>消防部门</w:t>
            </w:r>
          </w:p>
        </w:tc>
        <w:tc>
          <w:tcPr>
            <w:tcW w:w="1504" w:type="dxa"/>
            <w:noWrap w:val="0"/>
            <w:vAlign w:val="center"/>
          </w:tcPr>
          <w:p>
            <w:pPr>
              <w:spacing w:line="320" w:lineRule="exact"/>
              <w:jc w:val="center"/>
              <w:rPr>
                <w:rFonts w:hAnsi="宋体"/>
                <w:bCs/>
                <w:color w:val="2E15CB"/>
                <w:spacing w:val="0"/>
                <w:sz w:val="21"/>
              </w:rPr>
            </w:pPr>
            <w:r>
              <w:rPr>
                <w:rFonts w:hint="eastAsia" w:hAnsi="宋体"/>
                <w:bCs/>
                <w:color w:val="2E15CB"/>
                <w:spacing w:val="0"/>
                <w:sz w:val="21"/>
              </w:rPr>
              <w:t>值班人员</w:t>
            </w:r>
          </w:p>
        </w:tc>
        <w:tc>
          <w:tcPr>
            <w:tcW w:w="2754" w:type="dxa"/>
            <w:noWrap w:val="0"/>
            <w:vAlign w:val="center"/>
          </w:tcPr>
          <w:p>
            <w:pPr>
              <w:spacing w:line="320" w:lineRule="exact"/>
              <w:jc w:val="center"/>
              <w:rPr>
                <w:rFonts w:hAnsi="宋体"/>
                <w:bCs/>
                <w:color w:val="2E15CB"/>
                <w:spacing w:val="0"/>
                <w:sz w:val="21"/>
              </w:rPr>
            </w:pPr>
            <w:r>
              <w:rPr>
                <w:rFonts w:hint="eastAsia" w:hAnsi="宋体"/>
                <w:bCs/>
                <w:color w:val="2E15CB"/>
                <w:spacing w:val="0"/>
                <w:sz w:val="21"/>
              </w:rPr>
              <w:t>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14" w:type="dxa"/>
            <w:noWrap w:val="0"/>
            <w:vAlign w:val="center"/>
          </w:tcPr>
          <w:p>
            <w:pPr>
              <w:spacing w:line="320" w:lineRule="exact"/>
              <w:jc w:val="center"/>
              <w:rPr>
                <w:rFonts w:hAnsi="宋体"/>
                <w:bCs/>
                <w:color w:val="2E15CB"/>
                <w:spacing w:val="0"/>
                <w:sz w:val="21"/>
              </w:rPr>
            </w:pPr>
            <w:r>
              <w:rPr>
                <w:rFonts w:hAnsi="宋体"/>
                <w:bCs/>
                <w:color w:val="2E15CB"/>
                <w:spacing w:val="0"/>
                <w:sz w:val="21"/>
              </w:rPr>
              <w:t>4</w:t>
            </w:r>
          </w:p>
        </w:tc>
        <w:tc>
          <w:tcPr>
            <w:tcW w:w="3432" w:type="dxa"/>
            <w:noWrap w:val="0"/>
            <w:vAlign w:val="center"/>
          </w:tcPr>
          <w:p>
            <w:pPr>
              <w:spacing w:line="320" w:lineRule="exact"/>
              <w:jc w:val="center"/>
              <w:rPr>
                <w:rFonts w:hAnsi="宋体"/>
                <w:bCs/>
                <w:color w:val="2E15CB"/>
                <w:spacing w:val="0"/>
                <w:sz w:val="21"/>
              </w:rPr>
            </w:pPr>
            <w:r>
              <w:rPr>
                <w:rFonts w:hint="eastAsia" w:hAnsi="宋体"/>
                <w:bCs/>
                <w:color w:val="2E15CB"/>
                <w:spacing w:val="0"/>
                <w:sz w:val="21"/>
              </w:rPr>
              <w:t>公安部门</w:t>
            </w:r>
          </w:p>
        </w:tc>
        <w:tc>
          <w:tcPr>
            <w:tcW w:w="1504" w:type="dxa"/>
            <w:noWrap w:val="0"/>
            <w:vAlign w:val="center"/>
          </w:tcPr>
          <w:p>
            <w:pPr>
              <w:spacing w:line="320" w:lineRule="exact"/>
              <w:jc w:val="center"/>
              <w:rPr>
                <w:rFonts w:hAnsi="宋体"/>
                <w:bCs/>
                <w:color w:val="2E15CB"/>
                <w:spacing w:val="0"/>
                <w:sz w:val="21"/>
              </w:rPr>
            </w:pPr>
            <w:r>
              <w:rPr>
                <w:rFonts w:hint="eastAsia" w:hAnsi="宋体"/>
                <w:bCs/>
                <w:color w:val="2E15CB"/>
                <w:spacing w:val="0"/>
                <w:sz w:val="21"/>
              </w:rPr>
              <w:t>值班人员</w:t>
            </w:r>
          </w:p>
        </w:tc>
        <w:tc>
          <w:tcPr>
            <w:tcW w:w="2754" w:type="dxa"/>
            <w:noWrap w:val="0"/>
            <w:vAlign w:val="center"/>
          </w:tcPr>
          <w:p>
            <w:pPr>
              <w:spacing w:line="320" w:lineRule="exact"/>
              <w:jc w:val="center"/>
              <w:rPr>
                <w:rFonts w:hAnsi="宋体"/>
                <w:bCs/>
                <w:color w:val="2E15CB"/>
                <w:spacing w:val="0"/>
                <w:sz w:val="21"/>
              </w:rPr>
            </w:pPr>
            <w:r>
              <w:rPr>
                <w:rFonts w:hint="eastAsia" w:hAnsi="宋体"/>
                <w:bCs/>
                <w:color w:val="2E15CB"/>
                <w:spacing w:val="0"/>
                <w:sz w:val="21"/>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14" w:type="dxa"/>
            <w:noWrap w:val="0"/>
            <w:vAlign w:val="center"/>
          </w:tcPr>
          <w:p>
            <w:pPr>
              <w:spacing w:line="320" w:lineRule="exact"/>
              <w:jc w:val="center"/>
              <w:rPr>
                <w:rFonts w:hAnsi="宋体"/>
                <w:bCs/>
                <w:color w:val="2E15CB"/>
                <w:spacing w:val="0"/>
                <w:sz w:val="21"/>
              </w:rPr>
            </w:pPr>
            <w:r>
              <w:rPr>
                <w:rFonts w:hAnsi="宋体"/>
                <w:bCs/>
                <w:color w:val="2E15CB"/>
                <w:spacing w:val="0"/>
                <w:sz w:val="21"/>
              </w:rPr>
              <w:t>5</w:t>
            </w:r>
          </w:p>
        </w:tc>
        <w:tc>
          <w:tcPr>
            <w:tcW w:w="3432" w:type="dxa"/>
            <w:noWrap w:val="0"/>
            <w:vAlign w:val="center"/>
          </w:tcPr>
          <w:p>
            <w:pPr>
              <w:spacing w:line="320" w:lineRule="exact"/>
              <w:jc w:val="center"/>
              <w:rPr>
                <w:color w:val="2E15CB"/>
                <w:spacing w:val="0"/>
                <w:sz w:val="21"/>
              </w:rPr>
            </w:pPr>
            <w:r>
              <w:rPr>
                <w:rFonts w:hint="eastAsia"/>
                <w:color w:val="2E15CB"/>
                <w:sz w:val="21"/>
              </w:rPr>
              <w:t>南昌市人民</w:t>
            </w:r>
            <w:r>
              <w:rPr>
                <w:color w:val="2E15CB"/>
                <w:sz w:val="21"/>
              </w:rPr>
              <w:t>医院</w:t>
            </w:r>
          </w:p>
        </w:tc>
        <w:tc>
          <w:tcPr>
            <w:tcW w:w="1504" w:type="dxa"/>
            <w:noWrap w:val="0"/>
            <w:vAlign w:val="center"/>
          </w:tcPr>
          <w:p>
            <w:pPr>
              <w:spacing w:line="320" w:lineRule="exact"/>
              <w:jc w:val="center"/>
              <w:rPr>
                <w:bCs/>
                <w:color w:val="2E15CB"/>
                <w:spacing w:val="0"/>
                <w:sz w:val="21"/>
              </w:rPr>
            </w:pPr>
            <w:r>
              <w:rPr>
                <w:bCs/>
                <w:color w:val="2E15CB"/>
                <w:spacing w:val="0"/>
                <w:sz w:val="21"/>
              </w:rPr>
              <w:t>值班人员</w:t>
            </w:r>
          </w:p>
        </w:tc>
        <w:tc>
          <w:tcPr>
            <w:tcW w:w="2754" w:type="dxa"/>
            <w:noWrap w:val="0"/>
            <w:vAlign w:val="center"/>
          </w:tcPr>
          <w:p>
            <w:pPr>
              <w:spacing w:line="320" w:lineRule="exact"/>
              <w:jc w:val="center"/>
              <w:rPr>
                <w:rFonts w:hAnsi="宋体"/>
                <w:bCs/>
                <w:color w:val="2E15CB"/>
                <w:spacing w:val="0"/>
                <w:sz w:val="21"/>
              </w:rPr>
            </w:pPr>
            <w:r>
              <w:rPr>
                <w:rFonts w:hint="eastAsia" w:hAnsi="宋体"/>
                <w:bCs/>
                <w:color w:val="2E15CB"/>
                <w:spacing w:val="0"/>
                <w:sz w:val="21"/>
              </w:rPr>
              <w:t>0791-85712198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14" w:type="dxa"/>
            <w:noWrap w:val="0"/>
            <w:vAlign w:val="center"/>
          </w:tcPr>
          <w:p>
            <w:pPr>
              <w:spacing w:line="320" w:lineRule="exact"/>
              <w:jc w:val="center"/>
              <w:rPr>
                <w:rFonts w:hAnsi="宋体"/>
                <w:bCs/>
                <w:color w:val="2E15CB"/>
                <w:spacing w:val="0"/>
                <w:sz w:val="21"/>
              </w:rPr>
            </w:pPr>
            <w:r>
              <w:rPr>
                <w:rFonts w:hint="eastAsia" w:hAnsi="宋体"/>
                <w:bCs/>
                <w:color w:val="2E15CB"/>
                <w:spacing w:val="0"/>
                <w:sz w:val="21"/>
              </w:rPr>
              <w:t>6</w:t>
            </w:r>
          </w:p>
        </w:tc>
        <w:tc>
          <w:tcPr>
            <w:tcW w:w="3432" w:type="dxa"/>
            <w:noWrap w:val="0"/>
            <w:vAlign w:val="center"/>
          </w:tcPr>
          <w:p>
            <w:pPr>
              <w:spacing w:line="320" w:lineRule="exact"/>
              <w:jc w:val="center"/>
              <w:rPr>
                <w:rFonts w:hint="eastAsia"/>
                <w:color w:val="2E15CB"/>
                <w:sz w:val="21"/>
              </w:rPr>
            </w:pPr>
            <w:r>
              <w:rPr>
                <w:rFonts w:hint="eastAsia"/>
                <w:color w:val="2E15CB"/>
                <w:sz w:val="21"/>
              </w:rPr>
              <w:t>南昌市环境监测站</w:t>
            </w:r>
          </w:p>
        </w:tc>
        <w:tc>
          <w:tcPr>
            <w:tcW w:w="1504" w:type="dxa"/>
            <w:noWrap w:val="0"/>
            <w:vAlign w:val="center"/>
          </w:tcPr>
          <w:p>
            <w:pPr>
              <w:spacing w:line="320" w:lineRule="exact"/>
              <w:jc w:val="center"/>
              <w:rPr>
                <w:bCs/>
                <w:color w:val="2E15CB"/>
                <w:spacing w:val="0"/>
                <w:sz w:val="21"/>
              </w:rPr>
            </w:pPr>
            <w:r>
              <w:rPr>
                <w:bCs/>
                <w:color w:val="2E15CB"/>
                <w:spacing w:val="0"/>
                <w:sz w:val="21"/>
              </w:rPr>
              <w:t>值班人员</w:t>
            </w:r>
          </w:p>
        </w:tc>
        <w:tc>
          <w:tcPr>
            <w:tcW w:w="2754" w:type="dxa"/>
            <w:noWrap w:val="0"/>
            <w:vAlign w:val="center"/>
          </w:tcPr>
          <w:p>
            <w:pPr>
              <w:spacing w:line="320" w:lineRule="exact"/>
              <w:jc w:val="center"/>
              <w:rPr>
                <w:rFonts w:hint="eastAsia" w:hAnsi="宋体"/>
                <w:bCs/>
                <w:color w:val="2E15CB"/>
                <w:spacing w:val="0"/>
                <w:sz w:val="21"/>
              </w:rPr>
            </w:pPr>
            <w:r>
              <w:rPr>
                <w:rFonts w:hint="eastAsia" w:hAnsi="宋体"/>
                <w:bCs/>
                <w:color w:val="2E15CB"/>
                <w:spacing w:val="0"/>
                <w:sz w:val="21"/>
              </w:rPr>
              <w:t>0791-86356077</w:t>
            </w:r>
          </w:p>
        </w:tc>
      </w:tr>
    </w:tbl>
    <w:p>
      <w:pPr>
        <w:spacing w:line="440" w:lineRule="exact"/>
        <w:jc w:val="center"/>
        <w:rPr>
          <w:rFonts w:hAnsi="宋体"/>
          <w:b/>
          <w:color w:val="000000" w:themeColor="text1"/>
          <w:szCs w:val="28"/>
          <w14:textFill>
            <w14:solidFill>
              <w14:schemeClr w14:val="tx1"/>
            </w14:solidFill>
          </w14:textFill>
        </w:rPr>
      </w:pPr>
      <w:r>
        <w:rPr>
          <w:rFonts w:hint="eastAsia" w:hAnsi="宋体"/>
          <w:b/>
          <w:color w:val="000000" w:themeColor="text1"/>
          <w:szCs w:val="28"/>
          <w:highlight w:val="yellow"/>
          <w14:textFill>
            <w14:solidFill>
              <w14:schemeClr w14:val="tx1"/>
            </w14:solidFill>
          </w14:textFill>
        </w:rPr>
        <w:t>表4  专家组名单</w:t>
      </w:r>
    </w:p>
    <w:tbl>
      <w:tblPr>
        <w:tblStyle w:val="31"/>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2"/>
        <w:gridCol w:w="1000"/>
        <w:gridCol w:w="3661"/>
        <w:gridCol w:w="1542"/>
        <w:gridCol w:w="1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92" w:type="dxa"/>
            <w:vAlign w:val="center"/>
          </w:tcPr>
          <w:p>
            <w:pPr>
              <w:autoSpaceDE w:val="0"/>
              <w:adjustRightInd w:val="0"/>
              <w:snapToGrid w:val="0"/>
              <w:spacing w:line="320" w:lineRule="exact"/>
              <w:jc w:val="center"/>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序号</w:t>
            </w:r>
          </w:p>
        </w:tc>
        <w:tc>
          <w:tcPr>
            <w:tcW w:w="1000" w:type="dxa"/>
            <w:vAlign w:val="center"/>
          </w:tcPr>
          <w:p>
            <w:pPr>
              <w:autoSpaceDE w:val="0"/>
              <w:adjustRightInd w:val="0"/>
              <w:snapToGrid w:val="0"/>
              <w:spacing w:line="320" w:lineRule="exact"/>
              <w:jc w:val="center"/>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姓名</w:t>
            </w:r>
          </w:p>
        </w:tc>
        <w:tc>
          <w:tcPr>
            <w:tcW w:w="3661" w:type="dxa"/>
            <w:vAlign w:val="center"/>
          </w:tcPr>
          <w:p>
            <w:pPr>
              <w:widowControl/>
              <w:autoSpaceDE w:val="0"/>
              <w:adjustRightInd w:val="0"/>
              <w:snapToGrid w:val="0"/>
              <w:spacing w:line="320" w:lineRule="exact"/>
              <w:jc w:val="center"/>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单位</w:t>
            </w:r>
          </w:p>
        </w:tc>
        <w:tc>
          <w:tcPr>
            <w:tcW w:w="1542" w:type="dxa"/>
            <w:vAlign w:val="center"/>
          </w:tcPr>
          <w:p>
            <w:pPr>
              <w:widowControl/>
              <w:autoSpaceDE w:val="0"/>
              <w:adjustRightInd w:val="0"/>
              <w:snapToGrid w:val="0"/>
              <w:spacing w:line="320" w:lineRule="exact"/>
              <w:jc w:val="center"/>
              <w:rPr>
                <w:bCs/>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职务/职称</w:t>
            </w:r>
          </w:p>
        </w:tc>
        <w:tc>
          <w:tcPr>
            <w:tcW w:w="1609" w:type="dxa"/>
            <w:vAlign w:val="center"/>
          </w:tcPr>
          <w:p>
            <w:pPr>
              <w:widowControl/>
              <w:autoSpaceDE w:val="0"/>
              <w:adjustRightInd w:val="0"/>
              <w:snapToGrid w:val="0"/>
              <w:spacing w:line="320" w:lineRule="exact"/>
              <w:jc w:val="center"/>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92" w:type="dxa"/>
            <w:vAlign w:val="center"/>
          </w:tcPr>
          <w:p>
            <w:pPr>
              <w:autoSpaceDE w:val="0"/>
              <w:adjustRightInd w:val="0"/>
              <w:snapToGrid w:val="0"/>
              <w:spacing w:line="320" w:lineRule="exact"/>
              <w:jc w:val="center"/>
              <w:rPr>
                <w:bCs/>
                <w:color w:val="000000" w:themeColor="text1"/>
                <w:szCs w:val="21"/>
                <w14:textFill>
                  <w14:solidFill>
                    <w14:schemeClr w14:val="tx1"/>
                  </w14:solidFill>
                </w14:textFill>
              </w:rPr>
            </w:pPr>
            <w:r>
              <w:rPr>
                <w:rFonts w:hint="eastAsia"/>
                <w:bCs/>
                <w:color w:val="000000"/>
                <w:sz w:val="21"/>
                <w:highlight w:val="none"/>
                <w:lang w:val="en-US" w:eastAsia="zh-CN"/>
              </w:rPr>
              <w:t>1</w:t>
            </w:r>
          </w:p>
        </w:tc>
        <w:tc>
          <w:tcPr>
            <w:tcW w:w="1000" w:type="dxa"/>
            <w:vAlign w:val="center"/>
          </w:tcPr>
          <w:p>
            <w:pPr>
              <w:autoSpaceDE w:val="0"/>
              <w:spacing w:before="100" w:beforeAutospacing="1" w:after="100" w:afterAutospacing="1" w:line="300" w:lineRule="exact"/>
              <w:jc w:val="center"/>
              <w:rPr>
                <w:bCs/>
                <w:color w:val="000000" w:themeColor="text1"/>
                <w:szCs w:val="21"/>
                <w14:textFill>
                  <w14:solidFill>
                    <w14:schemeClr w14:val="tx1"/>
                  </w14:solidFill>
                </w14:textFill>
              </w:rPr>
            </w:pPr>
            <w:r>
              <w:rPr>
                <w:rFonts w:hint="eastAsia"/>
                <w:bCs/>
                <w:color w:val="000000"/>
                <w:sz w:val="21"/>
                <w:highlight w:val="none"/>
              </w:rPr>
              <w:t>刘志春</w:t>
            </w:r>
          </w:p>
        </w:tc>
        <w:tc>
          <w:tcPr>
            <w:tcW w:w="3661" w:type="dxa"/>
            <w:vAlign w:val="center"/>
          </w:tcPr>
          <w:p>
            <w:pPr>
              <w:autoSpaceDE w:val="0"/>
              <w:spacing w:before="100" w:beforeAutospacing="1" w:after="100" w:afterAutospacing="1" w:line="300" w:lineRule="exact"/>
              <w:jc w:val="center"/>
              <w:rPr>
                <w:bCs/>
                <w:color w:val="000000" w:themeColor="text1"/>
                <w:szCs w:val="21"/>
                <w14:textFill>
                  <w14:solidFill>
                    <w14:schemeClr w14:val="tx1"/>
                  </w14:solidFill>
                </w14:textFill>
              </w:rPr>
            </w:pPr>
            <w:r>
              <w:rPr>
                <w:rFonts w:hint="eastAsia"/>
                <w:bCs/>
                <w:color w:val="000000"/>
                <w:sz w:val="21"/>
                <w:highlight w:val="none"/>
              </w:rPr>
              <w:t xml:space="preserve">  江西蓝盈环保科技有限公司 </w:t>
            </w:r>
          </w:p>
        </w:tc>
        <w:tc>
          <w:tcPr>
            <w:tcW w:w="1542" w:type="dxa"/>
            <w:vAlign w:val="center"/>
          </w:tcPr>
          <w:p>
            <w:pPr>
              <w:autoSpaceDE w:val="0"/>
              <w:spacing w:before="100" w:beforeAutospacing="1" w:after="100" w:afterAutospacing="1" w:line="300" w:lineRule="exact"/>
              <w:jc w:val="center"/>
              <w:rPr>
                <w:bCs/>
                <w:color w:val="000000" w:themeColor="text1"/>
                <w:szCs w:val="21"/>
                <w14:textFill>
                  <w14:solidFill>
                    <w14:schemeClr w14:val="tx1"/>
                  </w14:solidFill>
                </w14:textFill>
              </w:rPr>
            </w:pPr>
            <w:r>
              <w:rPr>
                <w:rFonts w:hint="eastAsia"/>
                <w:bCs/>
                <w:color w:val="000000"/>
                <w:sz w:val="21"/>
                <w:highlight w:val="none"/>
              </w:rPr>
              <w:t xml:space="preserve">工程师 </w:t>
            </w:r>
          </w:p>
        </w:tc>
        <w:tc>
          <w:tcPr>
            <w:tcW w:w="1609" w:type="dxa"/>
            <w:vAlign w:val="center"/>
          </w:tcPr>
          <w:p>
            <w:pPr>
              <w:autoSpaceDE w:val="0"/>
              <w:spacing w:before="100" w:beforeAutospacing="1" w:after="100" w:afterAutospacing="1" w:line="300" w:lineRule="exact"/>
              <w:jc w:val="center"/>
              <w:rPr>
                <w:bCs/>
                <w:color w:val="000000" w:themeColor="text1"/>
                <w:szCs w:val="21"/>
                <w14:textFill>
                  <w14:solidFill>
                    <w14:schemeClr w14:val="tx1"/>
                  </w14:solidFill>
                </w14:textFill>
              </w:rPr>
            </w:pPr>
            <w:r>
              <w:rPr>
                <w:rFonts w:hint="eastAsia"/>
                <w:bCs/>
                <w:color w:val="000000"/>
                <w:sz w:val="21"/>
                <w:highlight w:val="none"/>
              </w:rPr>
              <w:t xml:space="preserve">18170014155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92" w:type="dxa"/>
            <w:vAlign w:val="center"/>
          </w:tcPr>
          <w:p>
            <w:pPr>
              <w:autoSpaceDE w:val="0"/>
              <w:adjustRightInd w:val="0"/>
              <w:snapToGrid w:val="0"/>
              <w:spacing w:line="320" w:lineRule="exact"/>
              <w:jc w:val="center"/>
              <w:rPr>
                <w:bCs/>
                <w:color w:val="000000" w:themeColor="text1"/>
                <w:szCs w:val="21"/>
                <w14:textFill>
                  <w14:solidFill>
                    <w14:schemeClr w14:val="tx1"/>
                  </w14:solidFill>
                </w14:textFill>
              </w:rPr>
            </w:pPr>
            <w:r>
              <w:rPr>
                <w:rFonts w:hint="eastAsia"/>
                <w:bCs/>
                <w:color w:val="000000"/>
                <w:sz w:val="21"/>
                <w:highlight w:val="none"/>
                <w:lang w:val="en-US" w:eastAsia="zh-CN"/>
              </w:rPr>
              <w:t>2</w:t>
            </w:r>
          </w:p>
        </w:tc>
        <w:tc>
          <w:tcPr>
            <w:tcW w:w="1000" w:type="dxa"/>
            <w:vAlign w:val="center"/>
          </w:tcPr>
          <w:p>
            <w:pPr>
              <w:autoSpaceDE w:val="0"/>
              <w:spacing w:before="100" w:beforeAutospacing="1" w:after="100" w:afterAutospacing="1" w:line="300" w:lineRule="exact"/>
              <w:jc w:val="center"/>
              <w:rPr>
                <w:bCs/>
                <w:color w:val="000000" w:themeColor="text1"/>
                <w:szCs w:val="21"/>
                <w14:textFill>
                  <w14:solidFill>
                    <w14:schemeClr w14:val="tx1"/>
                  </w14:solidFill>
                </w14:textFill>
              </w:rPr>
            </w:pPr>
            <w:r>
              <w:rPr>
                <w:rFonts w:hint="eastAsia"/>
                <w:bCs/>
                <w:color w:val="000000"/>
                <w:sz w:val="21"/>
                <w:highlight w:val="none"/>
              </w:rPr>
              <w:t>郑江</w:t>
            </w:r>
          </w:p>
        </w:tc>
        <w:tc>
          <w:tcPr>
            <w:tcW w:w="3661" w:type="dxa"/>
            <w:vAlign w:val="center"/>
          </w:tcPr>
          <w:p>
            <w:pPr>
              <w:autoSpaceDE w:val="0"/>
              <w:spacing w:before="100" w:beforeAutospacing="1" w:after="100" w:afterAutospacing="1" w:line="300" w:lineRule="exact"/>
              <w:jc w:val="center"/>
              <w:rPr>
                <w:bCs/>
                <w:color w:val="000000" w:themeColor="text1"/>
                <w:szCs w:val="21"/>
                <w14:textFill>
                  <w14:solidFill>
                    <w14:schemeClr w14:val="tx1"/>
                  </w14:solidFill>
                </w14:textFill>
              </w:rPr>
            </w:pPr>
            <w:r>
              <w:rPr>
                <w:rFonts w:hint="eastAsia"/>
                <w:bCs/>
                <w:color w:val="000000"/>
                <w:sz w:val="21"/>
                <w:highlight w:val="none"/>
              </w:rPr>
              <w:t xml:space="preserve"> 江西愽晟环保咨询有限公司  </w:t>
            </w:r>
          </w:p>
        </w:tc>
        <w:tc>
          <w:tcPr>
            <w:tcW w:w="1542" w:type="dxa"/>
            <w:vAlign w:val="top"/>
          </w:tcPr>
          <w:p>
            <w:pPr>
              <w:autoSpaceDE w:val="0"/>
              <w:spacing w:before="100" w:beforeAutospacing="1" w:after="100" w:afterAutospacing="1" w:line="300" w:lineRule="exact"/>
              <w:jc w:val="center"/>
              <w:rPr>
                <w:bCs/>
                <w:color w:val="000000" w:themeColor="text1"/>
                <w:szCs w:val="21"/>
                <w14:textFill>
                  <w14:solidFill>
                    <w14:schemeClr w14:val="tx1"/>
                  </w14:solidFill>
                </w14:textFill>
              </w:rPr>
            </w:pPr>
            <w:r>
              <w:rPr>
                <w:rFonts w:hint="eastAsia"/>
                <w:bCs/>
                <w:color w:val="000000"/>
                <w:sz w:val="21"/>
                <w:highlight w:val="none"/>
              </w:rPr>
              <w:t>工程师</w:t>
            </w:r>
          </w:p>
        </w:tc>
        <w:tc>
          <w:tcPr>
            <w:tcW w:w="1609" w:type="dxa"/>
            <w:vAlign w:val="center"/>
          </w:tcPr>
          <w:p>
            <w:pPr>
              <w:autoSpaceDE w:val="0"/>
              <w:spacing w:before="100" w:beforeAutospacing="1" w:after="100" w:afterAutospacing="1" w:line="300" w:lineRule="exact"/>
              <w:jc w:val="center"/>
              <w:rPr>
                <w:bCs/>
                <w:color w:val="000000" w:themeColor="text1"/>
                <w:szCs w:val="21"/>
                <w14:textFill>
                  <w14:solidFill>
                    <w14:schemeClr w14:val="tx1"/>
                  </w14:solidFill>
                </w14:textFill>
              </w:rPr>
            </w:pPr>
            <w:r>
              <w:rPr>
                <w:rFonts w:hint="eastAsia"/>
                <w:bCs/>
                <w:color w:val="000000"/>
                <w:sz w:val="21"/>
                <w:highlight w:val="none"/>
              </w:rPr>
              <w:t>18970985235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92" w:type="dxa"/>
            <w:vAlign w:val="center"/>
          </w:tcPr>
          <w:p>
            <w:pPr>
              <w:autoSpaceDE w:val="0"/>
              <w:adjustRightInd w:val="0"/>
              <w:snapToGrid w:val="0"/>
              <w:spacing w:line="320" w:lineRule="exact"/>
              <w:jc w:val="center"/>
              <w:rPr>
                <w:bCs/>
                <w:color w:val="000000" w:themeColor="text1"/>
                <w:szCs w:val="21"/>
                <w14:textFill>
                  <w14:solidFill>
                    <w14:schemeClr w14:val="tx1"/>
                  </w14:solidFill>
                </w14:textFill>
              </w:rPr>
            </w:pPr>
            <w:r>
              <w:rPr>
                <w:rFonts w:hint="eastAsia"/>
                <w:bCs/>
                <w:color w:val="000000"/>
                <w:sz w:val="21"/>
                <w:highlight w:val="none"/>
                <w:lang w:val="en-US" w:eastAsia="zh-CN"/>
              </w:rPr>
              <w:t>3</w:t>
            </w:r>
          </w:p>
        </w:tc>
        <w:tc>
          <w:tcPr>
            <w:tcW w:w="1000" w:type="dxa"/>
            <w:vAlign w:val="center"/>
          </w:tcPr>
          <w:p>
            <w:pPr>
              <w:autoSpaceDE w:val="0"/>
              <w:spacing w:before="100" w:beforeAutospacing="1" w:after="100" w:afterAutospacing="1" w:line="300" w:lineRule="exact"/>
              <w:jc w:val="center"/>
              <w:rPr>
                <w:bCs/>
                <w:color w:val="000000" w:themeColor="text1"/>
                <w:szCs w:val="21"/>
                <w14:textFill>
                  <w14:solidFill>
                    <w14:schemeClr w14:val="tx1"/>
                  </w14:solidFill>
                </w14:textFill>
              </w:rPr>
            </w:pPr>
            <w:r>
              <w:rPr>
                <w:rFonts w:hint="eastAsia"/>
                <w:bCs/>
                <w:color w:val="000000"/>
                <w:sz w:val="21"/>
                <w:highlight w:val="none"/>
              </w:rPr>
              <w:t>赖新云</w:t>
            </w:r>
          </w:p>
        </w:tc>
        <w:tc>
          <w:tcPr>
            <w:tcW w:w="3661" w:type="dxa"/>
            <w:vAlign w:val="center"/>
          </w:tcPr>
          <w:p>
            <w:pPr>
              <w:autoSpaceDE w:val="0"/>
              <w:spacing w:before="100" w:beforeAutospacing="1" w:after="100" w:afterAutospacing="1" w:line="300" w:lineRule="exact"/>
              <w:jc w:val="center"/>
              <w:rPr>
                <w:bCs/>
                <w:color w:val="000000" w:themeColor="text1"/>
                <w:szCs w:val="21"/>
                <w14:textFill>
                  <w14:solidFill>
                    <w14:schemeClr w14:val="tx1"/>
                  </w14:solidFill>
                </w14:textFill>
              </w:rPr>
            </w:pPr>
            <w:r>
              <w:rPr>
                <w:rFonts w:hint="eastAsia"/>
                <w:bCs/>
                <w:color w:val="000000"/>
                <w:sz w:val="21"/>
                <w:highlight w:val="none"/>
              </w:rPr>
              <w:t xml:space="preserve"> 南昌市环保技术服务中心有限公司 </w:t>
            </w:r>
          </w:p>
        </w:tc>
        <w:tc>
          <w:tcPr>
            <w:tcW w:w="1542" w:type="dxa"/>
            <w:vAlign w:val="top"/>
          </w:tcPr>
          <w:p>
            <w:pPr>
              <w:autoSpaceDE w:val="0"/>
              <w:spacing w:before="100" w:beforeAutospacing="1" w:after="100" w:afterAutospacing="1" w:line="300" w:lineRule="exact"/>
              <w:jc w:val="center"/>
              <w:rPr>
                <w:bCs/>
                <w:color w:val="000000" w:themeColor="text1"/>
                <w:szCs w:val="21"/>
                <w14:textFill>
                  <w14:solidFill>
                    <w14:schemeClr w14:val="tx1"/>
                  </w14:solidFill>
                </w14:textFill>
              </w:rPr>
            </w:pPr>
            <w:r>
              <w:rPr>
                <w:rFonts w:hint="eastAsia"/>
                <w:bCs/>
                <w:color w:val="000000"/>
                <w:sz w:val="21"/>
                <w:highlight w:val="none"/>
              </w:rPr>
              <w:t xml:space="preserve"> 高工</w:t>
            </w:r>
          </w:p>
        </w:tc>
        <w:tc>
          <w:tcPr>
            <w:tcW w:w="1609" w:type="dxa"/>
            <w:vAlign w:val="center"/>
          </w:tcPr>
          <w:p>
            <w:pPr>
              <w:autoSpaceDE w:val="0"/>
              <w:spacing w:before="100" w:beforeAutospacing="1" w:after="100" w:afterAutospacing="1" w:line="300" w:lineRule="exact"/>
              <w:jc w:val="center"/>
              <w:rPr>
                <w:bCs/>
                <w:color w:val="000000" w:themeColor="text1"/>
                <w:szCs w:val="21"/>
                <w14:textFill>
                  <w14:solidFill>
                    <w14:schemeClr w14:val="tx1"/>
                  </w14:solidFill>
                </w14:textFill>
              </w:rPr>
            </w:pPr>
            <w:r>
              <w:rPr>
                <w:rFonts w:hint="eastAsia"/>
                <w:bCs/>
                <w:color w:val="000000"/>
                <w:sz w:val="21"/>
                <w:highlight w:val="none"/>
              </w:rPr>
              <w:t>18979153160</w:t>
            </w:r>
          </w:p>
        </w:tc>
      </w:tr>
    </w:tbl>
    <w:p>
      <w:pPr>
        <w:spacing w:line="440" w:lineRule="exact"/>
        <w:jc w:val="center"/>
        <w:rPr>
          <w:rFonts w:hAnsi="宋体"/>
          <w:b/>
          <w:color w:val="000000" w:themeColor="text1"/>
          <w:szCs w:val="28"/>
          <w14:textFill>
            <w14:solidFill>
              <w14:schemeClr w14:val="tx1"/>
            </w14:solidFill>
          </w14:textFill>
        </w:rPr>
      </w:pPr>
    </w:p>
    <w:p>
      <w:pPr>
        <w:spacing w:line="440" w:lineRule="exact"/>
        <w:jc w:val="center"/>
        <w:rPr>
          <w:rFonts w:hAnsi="宋体"/>
          <w:b/>
          <w:szCs w:val="28"/>
        </w:rPr>
      </w:pPr>
    </w:p>
    <w:p>
      <w:pPr>
        <w:spacing w:line="500" w:lineRule="exact"/>
        <w:ind w:firstLine="560" w:firstLineChars="200"/>
        <w:rPr>
          <w:rFonts w:ascii="宋体" w:hAnsi="宋体"/>
          <w:sz w:val="28"/>
          <w:szCs w:val="28"/>
        </w:rPr>
        <w:sectPr>
          <w:headerReference r:id="rId11" w:type="default"/>
          <w:pgSz w:w="11906" w:h="16838"/>
          <w:pgMar w:top="1440" w:right="1800" w:bottom="1440" w:left="1800" w:header="851" w:footer="992" w:gutter="0"/>
          <w:cols w:space="425" w:num="1"/>
          <w:docGrid w:type="lines" w:linePitch="312" w:charSpace="0"/>
        </w:sectPr>
      </w:pPr>
    </w:p>
    <w:p>
      <w:pPr>
        <w:spacing w:before="156" w:beforeLines="50" w:after="156" w:afterLines="50"/>
        <w:outlineLvl w:val="1"/>
        <w:rPr>
          <w:rFonts w:hAnsi="宋体"/>
          <w:b/>
          <w:sz w:val="24"/>
          <w:szCs w:val="28"/>
        </w:rPr>
      </w:pPr>
      <w:bookmarkStart w:id="566" w:name="_Toc509302780"/>
      <w:bookmarkStart w:id="567" w:name="_Toc484164055"/>
      <w:bookmarkStart w:id="568" w:name="_Toc10105752"/>
      <w:bookmarkStart w:id="569" w:name="_Toc497226280"/>
      <w:bookmarkStart w:id="570" w:name="_Toc500487357"/>
      <w:r>
        <w:rPr>
          <w:rFonts w:hAnsi="宋体"/>
          <w:b/>
          <w:sz w:val="24"/>
          <w:szCs w:val="28"/>
        </w:rPr>
        <w:t>附件</w:t>
      </w:r>
      <w:r>
        <w:rPr>
          <w:rFonts w:hint="eastAsia" w:hAnsi="宋体"/>
          <w:b/>
          <w:sz w:val="24"/>
          <w:szCs w:val="28"/>
        </w:rPr>
        <w:t>2</w:t>
      </w:r>
      <w:r>
        <w:rPr>
          <w:rFonts w:hAnsi="宋体"/>
          <w:b/>
          <w:sz w:val="24"/>
          <w:szCs w:val="28"/>
        </w:rPr>
        <w:t>：</w:t>
      </w:r>
      <w:r>
        <w:rPr>
          <w:rFonts w:hint="eastAsia" w:hAnsi="宋体"/>
          <w:b/>
          <w:sz w:val="24"/>
          <w:szCs w:val="28"/>
        </w:rPr>
        <w:t>应急物资一览表</w:t>
      </w:r>
      <w:bookmarkEnd w:id="566"/>
      <w:bookmarkEnd w:id="567"/>
      <w:bookmarkEnd w:id="568"/>
      <w:bookmarkEnd w:id="569"/>
      <w:bookmarkEnd w:id="570"/>
    </w:p>
    <w:p>
      <w:pPr>
        <w:spacing w:line="440" w:lineRule="exact"/>
        <w:jc w:val="center"/>
        <w:rPr>
          <w:rFonts w:hAnsi="宋体"/>
          <w:b/>
          <w:szCs w:val="28"/>
        </w:rPr>
      </w:pPr>
      <w:bookmarkStart w:id="571" w:name="_Toc469746270"/>
      <w:bookmarkStart w:id="572" w:name="_Toc470162005"/>
      <w:r>
        <w:rPr>
          <w:rFonts w:hAnsi="宋体"/>
          <w:b/>
          <w:szCs w:val="28"/>
        </w:rPr>
        <w:t>表</w:t>
      </w:r>
      <w:r>
        <w:rPr>
          <w:b/>
          <w:szCs w:val="28"/>
        </w:rPr>
        <w:t xml:space="preserve">1  </w:t>
      </w:r>
      <w:r>
        <w:rPr>
          <w:rFonts w:hAnsi="宋体"/>
          <w:b/>
          <w:szCs w:val="28"/>
        </w:rPr>
        <w:t>应急抢险设备物资一览表</w:t>
      </w:r>
      <w:bookmarkEnd w:id="571"/>
      <w:bookmarkEnd w:id="572"/>
    </w:p>
    <w:tbl>
      <w:tblPr>
        <w:tblStyle w:val="31"/>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4"/>
        <w:gridCol w:w="2462"/>
        <w:gridCol w:w="2255"/>
        <w:gridCol w:w="14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2324" w:type="dxa"/>
            <w:noWrap w:val="0"/>
            <w:vAlign w:val="center"/>
          </w:tcPr>
          <w:p>
            <w:pPr>
              <w:spacing w:line="260" w:lineRule="exact"/>
              <w:jc w:val="center"/>
              <w:rPr>
                <w:color w:val="000000"/>
                <w:sz w:val="21"/>
              </w:rPr>
            </w:pPr>
            <w:bookmarkStart w:id="573" w:name="_Hlk10107248"/>
            <w:r>
              <w:rPr>
                <w:color w:val="000000"/>
                <w:sz w:val="21"/>
              </w:rPr>
              <w:t>序号</w:t>
            </w:r>
          </w:p>
        </w:tc>
        <w:tc>
          <w:tcPr>
            <w:tcW w:w="2462" w:type="dxa"/>
            <w:noWrap w:val="0"/>
            <w:vAlign w:val="center"/>
          </w:tcPr>
          <w:p>
            <w:pPr>
              <w:spacing w:line="260" w:lineRule="exact"/>
              <w:jc w:val="center"/>
              <w:rPr>
                <w:color w:val="000000"/>
                <w:sz w:val="21"/>
              </w:rPr>
            </w:pPr>
            <w:r>
              <w:rPr>
                <w:color w:val="000000"/>
                <w:sz w:val="21"/>
              </w:rPr>
              <w:t>名称</w:t>
            </w:r>
          </w:p>
        </w:tc>
        <w:tc>
          <w:tcPr>
            <w:tcW w:w="2255" w:type="dxa"/>
            <w:noWrap w:val="0"/>
            <w:vAlign w:val="center"/>
          </w:tcPr>
          <w:p>
            <w:pPr>
              <w:spacing w:line="260" w:lineRule="exact"/>
              <w:jc w:val="center"/>
              <w:rPr>
                <w:color w:val="000000"/>
                <w:sz w:val="21"/>
              </w:rPr>
            </w:pPr>
            <w:r>
              <w:rPr>
                <w:color w:val="000000"/>
                <w:sz w:val="21"/>
              </w:rPr>
              <w:t>位置</w:t>
            </w:r>
          </w:p>
        </w:tc>
        <w:tc>
          <w:tcPr>
            <w:tcW w:w="1481" w:type="dxa"/>
            <w:noWrap w:val="0"/>
            <w:vAlign w:val="center"/>
          </w:tcPr>
          <w:p>
            <w:pPr>
              <w:spacing w:line="260" w:lineRule="exact"/>
              <w:jc w:val="center"/>
              <w:rPr>
                <w:color w:val="000000"/>
                <w:sz w:val="21"/>
              </w:rPr>
            </w:pPr>
            <w:r>
              <w:rPr>
                <w:color w:val="000000"/>
                <w:sz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2324" w:type="dxa"/>
            <w:vMerge w:val="restart"/>
            <w:noWrap w:val="0"/>
            <w:vAlign w:val="center"/>
          </w:tcPr>
          <w:p>
            <w:pPr>
              <w:spacing w:line="260" w:lineRule="exact"/>
              <w:jc w:val="center"/>
              <w:rPr>
                <w:color w:val="000000"/>
                <w:sz w:val="21"/>
              </w:rPr>
            </w:pPr>
            <w:r>
              <w:rPr>
                <w:color w:val="000000"/>
                <w:sz w:val="21"/>
              </w:rPr>
              <w:t>应急预警及通讯设备</w:t>
            </w:r>
          </w:p>
        </w:tc>
        <w:tc>
          <w:tcPr>
            <w:tcW w:w="2462" w:type="dxa"/>
            <w:noWrap w:val="0"/>
            <w:vAlign w:val="center"/>
          </w:tcPr>
          <w:p>
            <w:pPr>
              <w:spacing w:line="260" w:lineRule="exact"/>
              <w:jc w:val="center"/>
              <w:rPr>
                <w:color w:val="000000"/>
                <w:sz w:val="21"/>
              </w:rPr>
            </w:pPr>
            <w:r>
              <w:rPr>
                <w:color w:val="000000"/>
                <w:sz w:val="21"/>
              </w:rPr>
              <w:t>接警电话</w:t>
            </w:r>
          </w:p>
        </w:tc>
        <w:tc>
          <w:tcPr>
            <w:tcW w:w="2255" w:type="dxa"/>
            <w:noWrap w:val="0"/>
            <w:vAlign w:val="center"/>
          </w:tcPr>
          <w:p>
            <w:pPr>
              <w:spacing w:line="260" w:lineRule="exact"/>
              <w:jc w:val="center"/>
              <w:rPr>
                <w:color w:val="000000"/>
                <w:sz w:val="21"/>
              </w:rPr>
            </w:pPr>
            <w:r>
              <w:rPr>
                <w:rFonts w:hint="eastAsia"/>
                <w:color w:val="000000"/>
                <w:sz w:val="21"/>
              </w:rPr>
              <w:t>办公室</w:t>
            </w:r>
          </w:p>
        </w:tc>
        <w:tc>
          <w:tcPr>
            <w:tcW w:w="1481" w:type="dxa"/>
            <w:noWrap w:val="0"/>
            <w:vAlign w:val="center"/>
          </w:tcPr>
          <w:p>
            <w:pPr>
              <w:spacing w:line="260" w:lineRule="exact"/>
              <w:jc w:val="center"/>
              <w:rPr>
                <w:rFonts w:hint="eastAsia"/>
                <w:color w:val="000000"/>
                <w:sz w:val="21"/>
              </w:rPr>
            </w:pPr>
            <w:r>
              <w:rPr>
                <w:color w:val="000000"/>
                <w:sz w:val="21"/>
              </w:rPr>
              <w:t>1</w:t>
            </w:r>
            <w:r>
              <w:rPr>
                <w:rFonts w:hint="eastAsia"/>
                <w:color w:val="000000"/>
                <w:sz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2324" w:type="dxa"/>
            <w:vMerge w:val="continue"/>
            <w:noWrap w:val="0"/>
            <w:vAlign w:val="center"/>
          </w:tcPr>
          <w:p>
            <w:pPr>
              <w:spacing w:line="260" w:lineRule="exact"/>
              <w:jc w:val="center"/>
              <w:rPr>
                <w:color w:val="000000"/>
                <w:sz w:val="21"/>
              </w:rPr>
            </w:pPr>
          </w:p>
        </w:tc>
        <w:tc>
          <w:tcPr>
            <w:tcW w:w="2462" w:type="dxa"/>
            <w:noWrap w:val="0"/>
            <w:vAlign w:val="center"/>
          </w:tcPr>
          <w:p>
            <w:pPr>
              <w:spacing w:line="260" w:lineRule="exact"/>
              <w:jc w:val="center"/>
              <w:rPr>
                <w:color w:val="000000"/>
                <w:sz w:val="21"/>
              </w:rPr>
            </w:pPr>
            <w:r>
              <w:rPr>
                <w:color w:val="000000"/>
                <w:sz w:val="21"/>
              </w:rPr>
              <w:t>防爆对讲机</w:t>
            </w:r>
          </w:p>
        </w:tc>
        <w:tc>
          <w:tcPr>
            <w:tcW w:w="2255" w:type="dxa"/>
            <w:noWrap w:val="0"/>
            <w:vAlign w:val="center"/>
          </w:tcPr>
          <w:p>
            <w:pPr>
              <w:spacing w:line="260" w:lineRule="exact"/>
              <w:jc w:val="center"/>
              <w:rPr>
                <w:color w:val="000000"/>
                <w:sz w:val="21"/>
              </w:rPr>
            </w:pPr>
            <w:r>
              <w:rPr>
                <w:rFonts w:hint="eastAsia"/>
                <w:color w:val="000000"/>
                <w:sz w:val="21"/>
              </w:rPr>
              <w:t>办公室</w:t>
            </w:r>
          </w:p>
        </w:tc>
        <w:tc>
          <w:tcPr>
            <w:tcW w:w="1481" w:type="dxa"/>
            <w:noWrap w:val="0"/>
            <w:vAlign w:val="center"/>
          </w:tcPr>
          <w:p>
            <w:pPr>
              <w:spacing w:line="260" w:lineRule="exact"/>
              <w:jc w:val="center"/>
              <w:rPr>
                <w:rFonts w:hint="eastAsia"/>
                <w:color w:val="000000"/>
                <w:sz w:val="21"/>
              </w:rPr>
            </w:pPr>
            <w:r>
              <w:rPr>
                <w:color w:val="000000"/>
                <w:sz w:val="21"/>
              </w:rPr>
              <w:t>1</w:t>
            </w:r>
            <w:r>
              <w:rPr>
                <w:rFonts w:hint="eastAsia"/>
                <w:color w:val="000000"/>
                <w:sz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2324" w:type="dxa"/>
            <w:vMerge w:val="continue"/>
            <w:noWrap w:val="0"/>
            <w:vAlign w:val="center"/>
          </w:tcPr>
          <w:p>
            <w:pPr>
              <w:spacing w:line="260" w:lineRule="exact"/>
              <w:jc w:val="center"/>
              <w:rPr>
                <w:color w:val="000000"/>
                <w:sz w:val="21"/>
              </w:rPr>
            </w:pPr>
          </w:p>
        </w:tc>
        <w:tc>
          <w:tcPr>
            <w:tcW w:w="2462" w:type="dxa"/>
            <w:noWrap w:val="0"/>
            <w:vAlign w:val="center"/>
          </w:tcPr>
          <w:p>
            <w:pPr>
              <w:spacing w:line="260" w:lineRule="exact"/>
              <w:jc w:val="center"/>
              <w:rPr>
                <w:color w:val="000000"/>
                <w:sz w:val="21"/>
              </w:rPr>
            </w:pPr>
            <w:r>
              <w:rPr>
                <w:rFonts w:hint="eastAsia"/>
                <w:color w:val="000000"/>
                <w:sz w:val="21"/>
              </w:rPr>
              <w:t>喇叭</w:t>
            </w:r>
          </w:p>
        </w:tc>
        <w:tc>
          <w:tcPr>
            <w:tcW w:w="2255" w:type="dxa"/>
            <w:noWrap w:val="0"/>
            <w:vAlign w:val="center"/>
          </w:tcPr>
          <w:p>
            <w:pPr>
              <w:spacing w:line="260" w:lineRule="exact"/>
              <w:jc w:val="center"/>
              <w:rPr>
                <w:rFonts w:hint="eastAsia"/>
                <w:color w:val="000000"/>
                <w:sz w:val="21"/>
              </w:rPr>
            </w:pPr>
            <w:r>
              <w:rPr>
                <w:rFonts w:hint="eastAsia"/>
                <w:color w:val="000000"/>
                <w:sz w:val="21"/>
              </w:rPr>
              <w:t>办公室</w:t>
            </w:r>
          </w:p>
        </w:tc>
        <w:tc>
          <w:tcPr>
            <w:tcW w:w="1481" w:type="dxa"/>
            <w:noWrap w:val="0"/>
            <w:vAlign w:val="center"/>
          </w:tcPr>
          <w:p>
            <w:pPr>
              <w:spacing w:line="260" w:lineRule="exact"/>
              <w:jc w:val="center"/>
              <w:rPr>
                <w:rFonts w:hint="eastAsia"/>
                <w:color w:val="000000"/>
                <w:sz w:val="21"/>
              </w:rPr>
            </w:pPr>
            <w:r>
              <w:rPr>
                <w:rFonts w:hint="eastAsia"/>
                <w:color w:val="000000"/>
                <w:sz w:val="21"/>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2324" w:type="dxa"/>
            <w:vMerge w:val="restart"/>
            <w:noWrap w:val="0"/>
            <w:vAlign w:val="center"/>
          </w:tcPr>
          <w:p>
            <w:pPr>
              <w:spacing w:line="260" w:lineRule="exact"/>
              <w:jc w:val="center"/>
              <w:rPr>
                <w:color w:val="000000"/>
                <w:sz w:val="21"/>
              </w:rPr>
            </w:pPr>
            <w:r>
              <w:rPr>
                <w:color w:val="000000"/>
                <w:sz w:val="21"/>
              </w:rPr>
              <w:t>应急救护装备</w:t>
            </w:r>
          </w:p>
        </w:tc>
        <w:tc>
          <w:tcPr>
            <w:tcW w:w="2462" w:type="dxa"/>
            <w:noWrap w:val="0"/>
            <w:vAlign w:val="center"/>
          </w:tcPr>
          <w:p>
            <w:pPr>
              <w:spacing w:line="260" w:lineRule="exact"/>
              <w:jc w:val="center"/>
              <w:rPr>
                <w:color w:val="FF0000"/>
                <w:sz w:val="21"/>
              </w:rPr>
            </w:pPr>
            <w:r>
              <w:rPr>
                <w:rFonts w:hint="eastAsia"/>
                <w:color w:val="FF0000"/>
                <w:sz w:val="21"/>
                <w:lang w:eastAsia="zh-CN"/>
              </w:rPr>
              <w:t>消防柜</w:t>
            </w:r>
          </w:p>
        </w:tc>
        <w:tc>
          <w:tcPr>
            <w:tcW w:w="2255" w:type="dxa"/>
            <w:noWrap w:val="0"/>
            <w:vAlign w:val="center"/>
          </w:tcPr>
          <w:p>
            <w:pPr>
              <w:spacing w:line="260" w:lineRule="exact"/>
              <w:jc w:val="center"/>
              <w:rPr>
                <w:color w:val="FF0000"/>
                <w:sz w:val="21"/>
              </w:rPr>
            </w:pPr>
            <w:r>
              <w:rPr>
                <w:rFonts w:hint="eastAsia"/>
                <w:color w:val="FF0000"/>
                <w:sz w:val="21"/>
              </w:rPr>
              <w:t>应急办公室</w:t>
            </w:r>
          </w:p>
        </w:tc>
        <w:tc>
          <w:tcPr>
            <w:tcW w:w="1481" w:type="dxa"/>
            <w:noWrap w:val="0"/>
            <w:vAlign w:val="center"/>
          </w:tcPr>
          <w:p>
            <w:pPr>
              <w:spacing w:line="260" w:lineRule="exact"/>
              <w:jc w:val="center"/>
              <w:rPr>
                <w:rFonts w:hint="eastAsia"/>
                <w:color w:val="FF0000"/>
                <w:sz w:val="21"/>
              </w:rPr>
            </w:pPr>
            <w:r>
              <w:rPr>
                <w:color w:val="FF0000"/>
                <w:sz w:val="21"/>
              </w:rPr>
              <w:t>1</w:t>
            </w:r>
            <w:r>
              <w:rPr>
                <w:rFonts w:hint="eastAsia"/>
                <w:color w:val="FF0000"/>
                <w:sz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2324" w:type="dxa"/>
            <w:vMerge w:val="continue"/>
            <w:noWrap w:val="0"/>
            <w:vAlign w:val="center"/>
          </w:tcPr>
          <w:p>
            <w:pPr>
              <w:spacing w:line="260" w:lineRule="exact"/>
              <w:jc w:val="center"/>
              <w:rPr>
                <w:color w:val="000000"/>
                <w:sz w:val="21"/>
              </w:rPr>
            </w:pPr>
          </w:p>
        </w:tc>
        <w:tc>
          <w:tcPr>
            <w:tcW w:w="2462" w:type="dxa"/>
            <w:noWrap w:val="0"/>
            <w:vAlign w:val="center"/>
          </w:tcPr>
          <w:p>
            <w:pPr>
              <w:pStyle w:val="100"/>
              <w:spacing w:line="260" w:lineRule="exact"/>
              <w:jc w:val="center"/>
              <w:rPr>
                <w:color w:val="FF0000"/>
              </w:rPr>
            </w:pPr>
            <w:r>
              <w:rPr>
                <w:color w:val="FF0000"/>
              </w:rPr>
              <w:t>消防沙</w:t>
            </w:r>
          </w:p>
        </w:tc>
        <w:tc>
          <w:tcPr>
            <w:tcW w:w="2255" w:type="dxa"/>
            <w:noWrap w:val="0"/>
            <w:vAlign w:val="center"/>
          </w:tcPr>
          <w:p>
            <w:pPr>
              <w:pStyle w:val="100"/>
              <w:spacing w:line="260" w:lineRule="exact"/>
              <w:jc w:val="center"/>
              <w:rPr>
                <w:color w:val="FF0000"/>
              </w:rPr>
            </w:pPr>
            <w:r>
              <w:rPr>
                <w:rFonts w:hint="eastAsia"/>
                <w:color w:val="FF0000"/>
              </w:rPr>
              <w:t>罐区附近</w:t>
            </w:r>
          </w:p>
        </w:tc>
        <w:tc>
          <w:tcPr>
            <w:tcW w:w="1481" w:type="dxa"/>
            <w:noWrap w:val="0"/>
            <w:vAlign w:val="center"/>
          </w:tcPr>
          <w:p>
            <w:pPr>
              <w:pStyle w:val="100"/>
              <w:spacing w:line="260" w:lineRule="exact"/>
              <w:jc w:val="center"/>
              <w:rPr>
                <w:color w:val="FF0000"/>
              </w:rPr>
            </w:pPr>
            <w:r>
              <w:rPr>
                <w:rFonts w:hint="eastAsia"/>
                <w:color w:val="FF0000"/>
                <w:lang w:val="en-US" w:eastAsia="zh-CN"/>
              </w:rPr>
              <w:t>2</w:t>
            </w:r>
            <w:r>
              <w:rPr>
                <w:rFonts w:hint="eastAsia"/>
                <w:color w:val="FF0000"/>
              </w:rPr>
              <w:t>m</w:t>
            </w:r>
            <w:r>
              <w:rPr>
                <w:color w:val="FF000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2324" w:type="dxa"/>
            <w:vMerge w:val="continue"/>
            <w:noWrap w:val="0"/>
            <w:vAlign w:val="center"/>
          </w:tcPr>
          <w:p>
            <w:pPr>
              <w:spacing w:line="260" w:lineRule="exact"/>
              <w:jc w:val="center"/>
              <w:rPr>
                <w:color w:val="000000"/>
                <w:sz w:val="21"/>
              </w:rPr>
            </w:pPr>
          </w:p>
        </w:tc>
        <w:tc>
          <w:tcPr>
            <w:tcW w:w="2462" w:type="dxa"/>
            <w:noWrap w:val="0"/>
            <w:vAlign w:val="center"/>
          </w:tcPr>
          <w:p>
            <w:pPr>
              <w:pStyle w:val="100"/>
              <w:spacing w:line="260" w:lineRule="exact"/>
              <w:jc w:val="center"/>
              <w:rPr>
                <w:rFonts w:hint="eastAsia"/>
                <w:color w:val="FF0000"/>
              </w:rPr>
            </w:pPr>
            <w:r>
              <w:rPr>
                <w:rFonts w:hint="eastAsia"/>
                <w:color w:val="FF0000"/>
                <w:lang w:val="en-US" w:eastAsia="zh-CN"/>
              </w:rPr>
              <w:t>4</w:t>
            </w:r>
            <w:r>
              <w:rPr>
                <w:color w:val="FF0000"/>
              </w:rPr>
              <w:t>kg</w:t>
            </w:r>
            <w:r>
              <w:rPr>
                <w:rFonts w:hint="eastAsia"/>
                <w:color w:val="FF0000"/>
              </w:rPr>
              <w:t>干粉灭火器</w:t>
            </w:r>
          </w:p>
        </w:tc>
        <w:tc>
          <w:tcPr>
            <w:tcW w:w="2255" w:type="dxa"/>
            <w:noWrap w:val="0"/>
            <w:vAlign w:val="center"/>
          </w:tcPr>
          <w:p>
            <w:pPr>
              <w:pStyle w:val="100"/>
              <w:spacing w:line="260" w:lineRule="exact"/>
              <w:jc w:val="center"/>
              <w:rPr>
                <w:rFonts w:hint="eastAsia"/>
                <w:color w:val="FF0000"/>
              </w:rPr>
            </w:pPr>
            <w:r>
              <w:rPr>
                <w:rFonts w:hint="eastAsia"/>
                <w:color w:val="FF0000"/>
              </w:rPr>
              <w:t>罐区附近</w:t>
            </w:r>
          </w:p>
        </w:tc>
        <w:tc>
          <w:tcPr>
            <w:tcW w:w="1481" w:type="dxa"/>
            <w:noWrap w:val="0"/>
            <w:vAlign w:val="center"/>
          </w:tcPr>
          <w:p>
            <w:pPr>
              <w:pStyle w:val="100"/>
              <w:spacing w:line="260" w:lineRule="exact"/>
              <w:jc w:val="center"/>
              <w:rPr>
                <w:rFonts w:hint="eastAsia"/>
                <w:color w:val="FF0000"/>
              </w:rPr>
            </w:pPr>
            <w:r>
              <w:rPr>
                <w:rFonts w:hint="eastAsia"/>
                <w:color w:val="FF0000"/>
                <w:lang w:val="en-US" w:eastAsia="zh-CN"/>
              </w:rPr>
              <w:t>14</w:t>
            </w:r>
            <w:r>
              <w:rPr>
                <w:rFonts w:hint="eastAsia"/>
                <w:color w:val="FF0000"/>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2324" w:type="dxa"/>
            <w:vMerge w:val="continue"/>
            <w:noWrap w:val="0"/>
            <w:vAlign w:val="center"/>
          </w:tcPr>
          <w:p>
            <w:pPr>
              <w:spacing w:line="260" w:lineRule="exact"/>
              <w:jc w:val="center"/>
              <w:rPr>
                <w:color w:val="000000"/>
                <w:sz w:val="21"/>
              </w:rPr>
            </w:pPr>
          </w:p>
        </w:tc>
        <w:tc>
          <w:tcPr>
            <w:tcW w:w="2462" w:type="dxa"/>
            <w:noWrap w:val="0"/>
            <w:vAlign w:val="center"/>
          </w:tcPr>
          <w:p>
            <w:pPr>
              <w:pStyle w:val="100"/>
              <w:spacing w:line="260" w:lineRule="exact"/>
              <w:jc w:val="center"/>
              <w:rPr>
                <w:rFonts w:hint="eastAsia"/>
                <w:color w:val="FF0000"/>
              </w:rPr>
            </w:pPr>
            <w:r>
              <w:rPr>
                <w:rFonts w:hint="eastAsia"/>
                <w:color w:val="FF0000"/>
                <w:lang w:val="en-US" w:eastAsia="zh-CN"/>
              </w:rPr>
              <w:t>MFTZ35</w:t>
            </w:r>
            <w:r>
              <w:rPr>
                <w:rFonts w:hint="eastAsia"/>
                <w:color w:val="FF0000"/>
              </w:rPr>
              <w:t>推车式干粉灭火器</w:t>
            </w:r>
          </w:p>
        </w:tc>
        <w:tc>
          <w:tcPr>
            <w:tcW w:w="2255" w:type="dxa"/>
            <w:noWrap w:val="0"/>
            <w:vAlign w:val="center"/>
          </w:tcPr>
          <w:p>
            <w:pPr>
              <w:pStyle w:val="100"/>
              <w:spacing w:line="260" w:lineRule="exact"/>
              <w:jc w:val="center"/>
              <w:rPr>
                <w:rFonts w:hint="eastAsia"/>
                <w:color w:val="FF0000"/>
              </w:rPr>
            </w:pPr>
            <w:r>
              <w:rPr>
                <w:rFonts w:hint="eastAsia"/>
                <w:color w:val="FF0000"/>
              </w:rPr>
              <w:t>罐区附近</w:t>
            </w:r>
          </w:p>
        </w:tc>
        <w:tc>
          <w:tcPr>
            <w:tcW w:w="1481" w:type="dxa"/>
            <w:noWrap w:val="0"/>
            <w:vAlign w:val="center"/>
          </w:tcPr>
          <w:p>
            <w:pPr>
              <w:pStyle w:val="100"/>
              <w:spacing w:line="260" w:lineRule="exact"/>
              <w:jc w:val="center"/>
              <w:rPr>
                <w:rFonts w:hint="eastAsia"/>
                <w:color w:val="FF0000"/>
              </w:rPr>
            </w:pPr>
            <w:r>
              <w:rPr>
                <w:rFonts w:hint="eastAsia"/>
                <w:color w:val="FF0000"/>
                <w:lang w:val="en-US" w:eastAsia="zh-CN"/>
              </w:rPr>
              <w:t>2</w:t>
            </w:r>
            <w:r>
              <w:rPr>
                <w:rFonts w:hint="eastAsia"/>
                <w:color w:val="FF0000"/>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2324" w:type="dxa"/>
            <w:vMerge w:val="continue"/>
            <w:noWrap w:val="0"/>
            <w:vAlign w:val="center"/>
          </w:tcPr>
          <w:p>
            <w:pPr>
              <w:spacing w:line="260" w:lineRule="exact"/>
              <w:jc w:val="center"/>
              <w:rPr>
                <w:color w:val="000000"/>
                <w:sz w:val="21"/>
              </w:rPr>
            </w:pPr>
          </w:p>
        </w:tc>
        <w:tc>
          <w:tcPr>
            <w:tcW w:w="2462" w:type="dxa"/>
            <w:noWrap w:val="0"/>
            <w:vAlign w:val="center"/>
          </w:tcPr>
          <w:p>
            <w:pPr>
              <w:pStyle w:val="100"/>
              <w:spacing w:line="260" w:lineRule="exact"/>
              <w:jc w:val="center"/>
              <w:rPr>
                <w:rFonts w:hint="eastAsia"/>
                <w:color w:val="FF0000"/>
              </w:rPr>
            </w:pPr>
            <w:r>
              <w:rPr>
                <w:rFonts w:hint="eastAsia"/>
                <w:color w:val="FF0000"/>
              </w:rPr>
              <w:t>二氧化碳灭火器</w:t>
            </w:r>
          </w:p>
        </w:tc>
        <w:tc>
          <w:tcPr>
            <w:tcW w:w="2255" w:type="dxa"/>
            <w:noWrap w:val="0"/>
            <w:vAlign w:val="center"/>
          </w:tcPr>
          <w:p>
            <w:pPr>
              <w:pStyle w:val="100"/>
              <w:spacing w:line="260" w:lineRule="exact"/>
              <w:jc w:val="center"/>
              <w:rPr>
                <w:rFonts w:hint="eastAsia"/>
                <w:color w:val="FF0000"/>
              </w:rPr>
            </w:pPr>
            <w:r>
              <w:rPr>
                <w:rFonts w:hint="eastAsia"/>
                <w:color w:val="FF0000"/>
              </w:rPr>
              <w:t>罐区附近</w:t>
            </w:r>
          </w:p>
        </w:tc>
        <w:tc>
          <w:tcPr>
            <w:tcW w:w="1481" w:type="dxa"/>
            <w:noWrap w:val="0"/>
            <w:vAlign w:val="center"/>
          </w:tcPr>
          <w:p>
            <w:pPr>
              <w:pStyle w:val="100"/>
              <w:spacing w:line="260" w:lineRule="exact"/>
              <w:jc w:val="center"/>
              <w:rPr>
                <w:color w:val="FF0000"/>
              </w:rPr>
            </w:pPr>
            <w:r>
              <w:rPr>
                <w:rFonts w:hint="eastAsia"/>
                <w:color w:val="FF0000"/>
                <w:lang w:val="en-US" w:eastAsia="zh-CN"/>
              </w:rPr>
              <w:t>16</w:t>
            </w:r>
            <w:r>
              <w:rPr>
                <w:rFonts w:hint="eastAsia"/>
                <w:color w:val="FF0000"/>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2324" w:type="dxa"/>
            <w:vMerge w:val="continue"/>
            <w:noWrap w:val="0"/>
            <w:vAlign w:val="center"/>
          </w:tcPr>
          <w:p>
            <w:pPr>
              <w:spacing w:line="260" w:lineRule="exact"/>
              <w:jc w:val="center"/>
              <w:rPr>
                <w:color w:val="000000"/>
                <w:sz w:val="21"/>
              </w:rPr>
            </w:pPr>
          </w:p>
        </w:tc>
        <w:tc>
          <w:tcPr>
            <w:tcW w:w="2462" w:type="dxa"/>
            <w:noWrap w:val="0"/>
            <w:vAlign w:val="center"/>
          </w:tcPr>
          <w:p>
            <w:pPr>
              <w:pStyle w:val="100"/>
              <w:spacing w:line="260" w:lineRule="exact"/>
              <w:jc w:val="center"/>
              <w:rPr>
                <w:rFonts w:hint="eastAsia"/>
                <w:color w:val="FF0000"/>
              </w:rPr>
            </w:pPr>
            <w:r>
              <w:rPr>
                <w:rFonts w:hint="eastAsia"/>
                <w:color w:val="FF0000"/>
              </w:rPr>
              <w:t>灭火毯</w:t>
            </w:r>
          </w:p>
        </w:tc>
        <w:tc>
          <w:tcPr>
            <w:tcW w:w="2255" w:type="dxa"/>
            <w:noWrap w:val="0"/>
            <w:vAlign w:val="center"/>
          </w:tcPr>
          <w:p>
            <w:pPr>
              <w:pStyle w:val="100"/>
              <w:spacing w:line="260" w:lineRule="exact"/>
              <w:jc w:val="center"/>
              <w:rPr>
                <w:rFonts w:hint="eastAsia"/>
                <w:color w:val="FF0000"/>
              </w:rPr>
            </w:pPr>
            <w:r>
              <w:rPr>
                <w:rFonts w:hint="eastAsia"/>
                <w:color w:val="FF0000"/>
              </w:rPr>
              <w:t>罐区附近</w:t>
            </w:r>
          </w:p>
        </w:tc>
        <w:tc>
          <w:tcPr>
            <w:tcW w:w="1481" w:type="dxa"/>
            <w:noWrap w:val="0"/>
            <w:vAlign w:val="center"/>
          </w:tcPr>
          <w:p>
            <w:pPr>
              <w:pStyle w:val="100"/>
              <w:spacing w:line="260" w:lineRule="exact"/>
              <w:jc w:val="center"/>
              <w:rPr>
                <w:rFonts w:hint="eastAsia"/>
                <w:color w:val="FF0000"/>
              </w:rPr>
            </w:pPr>
            <w:r>
              <w:rPr>
                <w:rFonts w:hint="eastAsia"/>
                <w:color w:val="FF0000"/>
                <w:lang w:val="en-US" w:eastAsia="zh-CN"/>
              </w:rPr>
              <w:t>7</w:t>
            </w:r>
            <w:r>
              <w:rPr>
                <w:rFonts w:hint="eastAsia"/>
                <w:color w:val="FF0000"/>
              </w:rPr>
              <w:t>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2324" w:type="dxa"/>
            <w:vMerge w:val="continue"/>
            <w:noWrap w:val="0"/>
            <w:vAlign w:val="center"/>
          </w:tcPr>
          <w:p>
            <w:pPr>
              <w:spacing w:line="260" w:lineRule="exact"/>
              <w:jc w:val="center"/>
              <w:rPr>
                <w:color w:val="000000"/>
                <w:sz w:val="21"/>
              </w:rPr>
            </w:pPr>
          </w:p>
        </w:tc>
        <w:tc>
          <w:tcPr>
            <w:tcW w:w="2462" w:type="dxa"/>
            <w:noWrap w:val="0"/>
            <w:vAlign w:val="center"/>
          </w:tcPr>
          <w:p>
            <w:pPr>
              <w:pStyle w:val="100"/>
              <w:spacing w:line="260" w:lineRule="exact"/>
              <w:jc w:val="center"/>
              <w:rPr>
                <w:rFonts w:hint="eastAsia" w:eastAsia="宋体"/>
                <w:color w:val="FF0000"/>
                <w:lang w:eastAsia="zh-CN"/>
              </w:rPr>
            </w:pPr>
            <w:r>
              <w:rPr>
                <w:rFonts w:hint="eastAsia"/>
                <w:color w:val="FF0000"/>
                <w:lang w:eastAsia="zh-CN"/>
              </w:rPr>
              <w:t>消防锹</w:t>
            </w:r>
          </w:p>
        </w:tc>
        <w:tc>
          <w:tcPr>
            <w:tcW w:w="2255" w:type="dxa"/>
            <w:noWrap w:val="0"/>
            <w:vAlign w:val="center"/>
          </w:tcPr>
          <w:p>
            <w:pPr>
              <w:pStyle w:val="100"/>
              <w:spacing w:line="260" w:lineRule="exact"/>
              <w:jc w:val="center"/>
              <w:rPr>
                <w:rFonts w:hint="eastAsia"/>
                <w:color w:val="FF0000"/>
              </w:rPr>
            </w:pPr>
            <w:r>
              <w:rPr>
                <w:rFonts w:hint="eastAsia"/>
                <w:color w:val="FF0000"/>
              </w:rPr>
              <w:t>罐区附近</w:t>
            </w:r>
          </w:p>
        </w:tc>
        <w:tc>
          <w:tcPr>
            <w:tcW w:w="1481" w:type="dxa"/>
            <w:noWrap w:val="0"/>
            <w:vAlign w:val="center"/>
          </w:tcPr>
          <w:p>
            <w:pPr>
              <w:pStyle w:val="100"/>
              <w:spacing w:line="260" w:lineRule="exact"/>
              <w:jc w:val="center"/>
              <w:rPr>
                <w:rFonts w:hint="eastAsia"/>
                <w:color w:val="FF0000"/>
                <w:lang w:val="en-US" w:eastAsia="zh-CN"/>
              </w:rPr>
            </w:pPr>
            <w:r>
              <w:rPr>
                <w:rFonts w:hint="eastAsia"/>
                <w:color w:val="FF0000"/>
                <w:lang w:val="en-US" w:eastAsia="zh-CN"/>
              </w:rPr>
              <w:t>6把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7" w:hRule="atLeast"/>
          <w:jc w:val="center"/>
        </w:trPr>
        <w:tc>
          <w:tcPr>
            <w:tcW w:w="2324" w:type="dxa"/>
            <w:vMerge w:val="restart"/>
            <w:noWrap w:val="0"/>
            <w:vAlign w:val="center"/>
          </w:tcPr>
          <w:p>
            <w:pPr>
              <w:spacing w:line="260" w:lineRule="exact"/>
              <w:jc w:val="center"/>
              <w:rPr>
                <w:color w:val="000000"/>
                <w:sz w:val="21"/>
              </w:rPr>
            </w:pPr>
            <w:r>
              <w:rPr>
                <w:color w:val="000000"/>
                <w:sz w:val="21"/>
              </w:rPr>
              <w:t>应急救援防护装备</w:t>
            </w:r>
          </w:p>
        </w:tc>
        <w:tc>
          <w:tcPr>
            <w:tcW w:w="2462" w:type="dxa"/>
            <w:noWrap w:val="0"/>
            <w:vAlign w:val="center"/>
          </w:tcPr>
          <w:p>
            <w:pPr>
              <w:pStyle w:val="100"/>
              <w:spacing w:line="260" w:lineRule="exact"/>
              <w:jc w:val="center"/>
              <w:rPr>
                <w:color w:val="000000"/>
              </w:rPr>
            </w:pPr>
            <w:r>
              <w:rPr>
                <w:color w:val="000000"/>
              </w:rPr>
              <w:t>绝缘手套</w:t>
            </w:r>
          </w:p>
        </w:tc>
        <w:tc>
          <w:tcPr>
            <w:tcW w:w="2255" w:type="dxa"/>
            <w:noWrap w:val="0"/>
            <w:vAlign w:val="top"/>
          </w:tcPr>
          <w:p>
            <w:pPr>
              <w:pStyle w:val="100"/>
              <w:spacing w:line="320" w:lineRule="exact"/>
              <w:jc w:val="center"/>
              <w:rPr>
                <w:color w:val="FF0000"/>
              </w:rPr>
            </w:pPr>
            <w:r>
              <w:rPr>
                <w:rFonts w:hint="eastAsia"/>
                <w:color w:val="FF0000"/>
              </w:rPr>
              <w:t>办公室</w:t>
            </w:r>
          </w:p>
        </w:tc>
        <w:tc>
          <w:tcPr>
            <w:tcW w:w="1481" w:type="dxa"/>
            <w:noWrap w:val="0"/>
            <w:vAlign w:val="center"/>
          </w:tcPr>
          <w:p>
            <w:pPr>
              <w:pStyle w:val="100"/>
              <w:spacing w:line="260" w:lineRule="exact"/>
              <w:jc w:val="center"/>
              <w:rPr>
                <w:color w:val="000000"/>
              </w:rPr>
            </w:pPr>
            <w:r>
              <w:rPr>
                <w:color w:val="000000"/>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7" w:hRule="atLeast"/>
          <w:jc w:val="center"/>
        </w:trPr>
        <w:tc>
          <w:tcPr>
            <w:tcW w:w="2324" w:type="dxa"/>
            <w:vMerge w:val="continue"/>
            <w:noWrap w:val="0"/>
            <w:vAlign w:val="center"/>
          </w:tcPr>
          <w:p>
            <w:pPr>
              <w:spacing w:line="260" w:lineRule="exact"/>
              <w:jc w:val="center"/>
              <w:rPr>
                <w:color w:val="000000"/>
                <w:sz w:val="21"/>
              </w:rPr>
            </w:pPr>
          </w:p>
        </w:tc>
        <w:tc>
          <w:tcPr>
            <w:tcW w:w="2462" w:type="dxa"/>
            <w:noWrap w:val="0"/>
            <w:vAlign w:val="center"/>
          </w:tcPr>
          <w:p>
            <w:pPr>
              <w:pStyle w:val="100"/>
              <w:spacing w:line="260" w:lineRule="exact"/>
              <w:jc w:val="center"/>
              <w:rPr>
                <w:rFonts w:hint="default" w:eastAsia="宋体"/>
                <w:color w:val="000000"/>
                <w:lang w:val="en-US" w:eastAsia="zh-CN"/>
              </w:rPr>
            </w:pPr>
            <w:r>
              <w:rPr>
                <w:rFonts w:hint="eastAsia"/>
                <w:color w:val="000000"/>
                <w:lang w:val="en-US" w:eastAsia="zh-CN"/>
              </w:rPr>
              <w:t>应急灯</w:t>
            </w:r>
          </w:p>
        </w:tc>
        <w:tc>
          <w:tcPr>
            <w:tcW w:w="2255" w:type="dxa"/>
            <w:noWrap w:val="0"/>
            <w:vAlign w:val="top"/>
          </w:tcPr>
          <w:p>
            <w:pPr>
              <w:pStyle w:val="100"/>
              <w:spacing w:line="320" w:lineRule="exact"/>
              <w:jc w:val="center"/>
              <w:rPr>
                <w:rFonts w:hint="eastAsia"/>
                <w:color w:val="FF0000"/>
              </w:rPr>
            </w:pPr>
            <w:r>
              <w:rPr>
                <w:rFonts w:hint="eastAsia"/>
                <w:color w:val="FF0000"/>
              </w:rPr>
              <w:t>办公室</w:t>
            </w:r>
          </w:p>
        </w:tc>
        <w:tc>
          <w:tcPr>
            <w:tcW w:w="1481" w:type="dxa"/>
            <w:noWrap w:val="0"/>
            <w:vAlign w:val="center"/>
          </w:tcPr>
          <w:p>
            <w:pPr>
              <w:pStyle w:val="100"/>
              <w:spacing w:line="260" w:lineRule="exact"/>
              <w:jc w:val="center"/>
              <w:rPr>
                <w:rFonts w:hint="eastAsia" w:eastAsia="宋体"/>
                <w:color w:val="000000"/>
                <w:lang w:val="en-US" w:eastAsia="zh-CN"/>
              </w:rPr>
            </w:pPr>
            <w:r>
              <w:rPr>
                <w:rFonts w:hint="eastAsia"/>
                <w:color w:val="000000"/>
                <w:lang w:val="en-US" w:eastAsia="zh-CN"/>
              </w:rPr>
              <w:t>5盏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2324" w:type="dxa"/>
            <w:vMerge w:val="continue"/>
            <w:noWrap w:val="0"/>
            <w:vAlign w:val="center"/>
          </w:tcPr>
          <w:p>
            <w:pPr>
              <w:spacing w:line="260" w:lineRule="exact"/>
              <w:jc w:val="center"/>
              <w:rPr>
                <w:color w:val="000000"/>
                <w:sz w:val="21"/>
              </w:rPr>
            </w:pPr>
          </w:p>
        </w:tc>
        <w:tc>
          <w:tcPr>
            <w:tcW w:w="2462" w:type="dxa"/>
            <w:noWrap w:val="0"/>
            <w:vAlign w:val="center"/>
          </w:tcPr>
          <w:p>
            <w:pPr>
              <w:pStyle w:val="100"/>
              <w:spacing w:line="260" w:lineRule="exact"/>
              <w:jc w:val="center"/>
              <w:rPr>
                <w:color w:val="000000"/>
              </w:rPr>
            </w:pPr>
            <w:r>
              <w:rPr>
                <w:color w:val="000000"/>
              </w:rPr>
              <w:t>绝缘鞋</w:t>
            </w:r>
          </w:p>
        </w:tc>
        <w:tc>
          <w:tcPr>
            <w:tcW w:w="2255" w:type="dxa"/>
            <w:noWrap w:val="0"/>
            <w:vAlign w:val="top"/>
          </w:tcPr>
          <w:p>
            <w:pPr>
              <w:pStyle w:val="100"/>
              <w:spacing w:line="320" w:lineRule="exact"/>
              <w:jc w:val="center"/>
              <w:rPr>
                <w:color w:val="FF0000"/>
              </w:rPr>
            </w:pPr>
            <w:r>
              <w:rPr>
                <w:rFonts w:hint="eastAsia"/>
                <w:color w:val="FF0000"/>
              </w:rPr>
              <w:t>办公室</w:t>
            </w:r>
          </w:p>
        </w:tc>
        <w:tc>
          <w:tcPr>
            <w:tcW w:w="1481" w:type="dxa"/>
            <w:noWrap w:val="0"/>
            <w:vAlign w:val="center"/>
          </w:tcPr>
          <w:p>
            <w:pPr>
              <w:pStyle w:val="100"/>
              <w:spacing w:line="260" w:lineRule="exact"/>
              <w:jc w:val="center"/>
              <w:rPr>
                <w:color w:val="000000"/>
              </w:rPr>
            </w:pPr>
            <w:r>
              <w:rPr>
                <w:color w:val="000000"/>
              </w:rPr>
              <w:t>1双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2324" w:type="dxa"/>
            <w:vMerge w:val="continue"/>
            <w:noWrap w:val="0"/>
            <w:vAlign w:val="center"/>
          </w:tcPr>
          <w:p>
            <w:pPr>
              <w:spacing w:line="260" w:lineRule="exact"/>
              <w:jc w:val="center"/>
              <w:rPr>
                <w:color w:val="000000"/>
                <w:sz w:val="21"/>
              </w:rPr>
            </w:pPr>
          </w:p>
        </w:tc>
        <w:tc>
          <w:tcPr>
            <w:tcW w:w="2462" w:type="dxa"/>
            <w:noWrap w:val="0"/>
            <w:vAlign w:val="center"/>
          </w:tcPr>
          <w:p>
            <w:pPr>
              <w:spacing w:line="260" w:lineRule="exact"/>
              <w:jc w:val="center"/>
              <w:rPr>
                <w:rFonts w:hint="eastAsia"/>
                <w:color w:val="000000"/>
                <w:sz w:val="21"/>
              </w:rPr>
            </w:pPr>
            <w:r>
              <w:rPr>
                <w:rFonts w:hint="eastAsia"/>
                <w:color w:val="000000"/>
                <w:sz w:val="21"/>
              </w:rPr>
              <w:t>防毒面具</w:t>
            </w:r>
          </w:p>
        </w:tc>
        <w:tc>
          <w:tcPr>
            <w:tcW w:w="2255" w:type="dxa"/>
            <w:noWrap w:val="0"/>
            <w:vAlign w:val="top"/>
          </w:tcPr>
          <w:p>
            <w:pPr>
              <w:pStyle w:val="100"/>
              <w:spacing w:line="320" w:lineRule="exact"/>
              <w:jc w:val="center"/>
              <w:rPr>
                <w:color w:val="FF0000"/>
              </w:rPr>
            </w:pPr>
            <w:r>
              <w:rPr>
                <w:rFonts w:hint="eastAsia"/>
                <w:color w:val="FF0000"/>
              </w:rPr>
              <w:t>办公室</w:t>
            </w:r>
          </w:p>
        </w:tc>
        <w:tc>
          <w:tcPr>
            <w:tcW w:w="1481" w:type="dxa"/>
            <w:noWrap w:val="0"/>
            <w:vAlign w:val="center"/>
          </w:tcPr>
          <w:p>
            <w:pPr>
              <w:spacing w:line="260" w:lineRule="exact"/>
              <w:jc w:val="center"/>
              <w:rPr>
                <w:rFonts w:hint="eastAsia"/>
                <w:color w:val="000000"/>
                <w:sz w:val="21"/>
              </w:rPr>
            </w:pPr>
            <w:r>
              <w:rPr>
                <w:rFonts w:hint="eastAsia"/>
                <w:color w:val="000000"/>
                <w:sz w:val="21"/>
              </w:rPr>
              <w:t>3个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2324" w:type="dxa"/>
            <w:vMerge w:val="continue"/>
            <w:noWrap w:val="0"/>
            <w:vAlign w:val="center"/>
          </w:tcPr>
          <w:p>
            <w:pPr>
              <w:spacing w:line="260" w:lineRule="exact"/>
              <w:jc w:val="center"/>
              <w:rPr>
                <w:color w:val="000000"/>
                <w:sz w:val="21"/>
              </w:rPr>
            </w:pPr>
          </w:p>
        </w:tc>
        <w:tc>
          <w:tcPr>
            <w:tcW w:w="2462" w:type="dxa"/>
            <w:noWrap w:val="0"/>
            <w:vAlign w:val="center"/>
          </w:tcPr>
          <w:p>
            <w:pPr>
              <w:spacing w:line="260" w:lineRule="exact"/>
              <w:jc w:val="center"/>
              <w:rPr>
                <w:rFonts w:hint="eastAsia"/>
                <w:color w:val="000000"/>
                <w:sz w:val="21"/>
              </w:rPr>
            </w:pPr>
            <w:r>
              <w:rPr>
                <w:rFonts w:hint="eastAsia"/>
                <w:color w:val="000000"/>
                <w:sz w:val="21"/>
              </w:rPr>
              <w:t>防化服</w:t>
            </w:r>
          </w:p>
        </w:tc>
        <w:tc>
          <w:tcPr>
            <w:tcW w:w="2255" w:type="dxa"/>
            <w:noWrap w:val="0"/>
            <w:vAlign w:val="top"/>
          </w:tcPr>
          <w:p>
            <w:pPr>
              <w:pStyle w:val="100"/>
              <w:spacing w:line="320" w:lineRule="exact"/>
              <w:jc w:val="center"/>
              <w:rPr>
                <w:color w:val="FF0000"/>
              </w:rPr>
            </w:pPr>
            <w:r>
              <w:rPr>
                <w:rFonts w:hint="eastAsia"/>
                <w:color w:val="FF0000"/>
              </w:rPr>
              <w:t>办公室</w:t>
            </w:r>
          </w:p>
        </w:tc>
        <w:tc>
          <w:tcPr>
            <w:tcW w:w="1481" w:type="dxa"/>
            <w:noWrap w:val="0"/>
            <w:vAlign w:val="center"/>
          </w:tcPr>
          <w:p>
            <w:pPr>
              <w:spacing w:line="260" w:lineRule="exact"/>
              <w:jc w:val="center"/>
              <w:rPr>
                <w:rFonts w:hint="eastAsia"/>
                <w:color w:val="000000"/>
                <w:sz w:val="21"/>
              </w:rPr>
            </w:pPr>
            <w:r>
              <w:rPr>
                <w:rFonts w:hint="eastAsia"/>
                <w:color w:val="000000"/>
                <w:sz w:val="21"/>
              </w:rPr>
              <w:t>2套</w:t>
            </w:r>
          </w:p>
        </w:tc>
      </w:tr>
      <w:bookmarkEnd w:id="573"/>
    </w:tbl>
    <w:p>
      <w:pPr>
        <w:pStyle w:val="2"/>
        <w:rPr>
          <w:rFonts w:hAnsi="宋体"/>
          <w:b/>
          <w:szCs w:val="28"/>
        </w:rPr>
      </w:pPr>
    </w:p>
    <w:p>
      <w:pPr>
        <w:spacing w:line="440" w:lineRule="exact"/>
        <w:jc w:val="center"/>
        <w:rPr>
          <w:rFonts w:hAnsi="宋体"/>
          <w:b/>
          <w:szCs w:val="28"/>
        </w:rPr>
      </w:pPr>
    </w:p>
    <w:p>
      <w:pPr>
        <w:spacing w:before="156" w:beforeLines="50" w:after="156" w:afterLines="50"/>
        <w:rPr>
          <w:rFonts w:hAnsi="宋体"/>
          <w:b/>
          <w:szCs w:val="21"/>
        </w:rPr>
        <w:sectPr>
          <w:pgSz w:w="11906" w:h="16838"/>
          <w:pgMar w:top="1440" w:right="1800" w:bottom="1440" w:left="1800" w:header="1134" w:footer="992" w:gutter="0"/>
          <w:cols w:space="720" w:num="1"/>
          <w:docGrid w:type="lines" w:linePitch="312" w:charSpace="0"/>
        </w:sectPr>
      </w:pPr>
    </w:p>
    <w:p>
      <w:pPr>
        <w:outlineLvl w:val="1"/>
        <w:rPr>
          <w:b/>
          <w:bCs/>
          <w:color w:val="000000"/>
          <w:kern w:val="0"/>
        </w:rPr>
      </w:pPr>
      <w:bookmarkStart w:id="574" w:name="_Toc10105753"/>
      <w:bookmarkStart w:id="575" w:name="_Toc498956289"/>
      <w:bookmarkStart w:id="576" w:name="_Toc498956593"/>
      <w:r>
        <w:rPr>
          <w:rFonts w:hint="eastAsia" w:hAnsi="宋体"/>
          <w:b/>
          <w:sz w:val="24"/>
          <w:szCs w:val="28"/>
        </w:rPr>
        <w:t>附件</w:t>
      </w:r>
      <w:r>
        <w:rPr>
          <w:rFonts w:hAnsi="宋体"/>
          <w:b/>
          <w:sz w:val="24"/>
          <w:szCs w:val="28"/>
        </w:rPr>
        <w:t>3</w:t>
      </w:r>
      <w:r>
        <w:rPr>
          <w:rFonts w:hint="eastAsia" w:hAnsi="宋体"/>
          <w:b/>
          <w:sz w:val="24"/>
          <w:szCs w:val="28"/>
        </w:rPr>
        <w:t xml:space="preserve">  应急处置卡</w:t>
      </w:r>
      <w:bookmarkEnd w:id="574"/>
    </w:p>
    <w:p>
      <w:pPr>
        <w:spacing w:line="500" w:lineRule="exact"/>
        <w:jc w:val="center"/>
        <w:rPr>
          <w:b/>
          <w:color w:val="000000"/>
        </w:rPr>
      </w:pPr>
      <w:r>
        <w:rPr>
          <w:rFonts w:hint="eastAsia"/>
          <w:b/>
          <w:color w:val="000000"/>
        </w:rPr>
        <w:t>表</w:t>
      </w:r>
      <w:r>
        <w:rPr>
          <w:b/>
          <w:color w:val="000000"/>
        </w:rPr>
        <w:t>1</w:t>
      </w:r>
      <w:r>
        <w:rPr>
          <w:rFonts w:hint="eastAsia"/>
          <w:b/>
          <w:color w:val="000000"/>
        </w:rPr>
        <w:t xml:space="preserve">  泄漏、火灾爆炸事故应急处置卡</w:t>
      </w:r>
    </w:p>
    <w:tbl>
      <w:tblPr>
        <w:tblStyle w:val="31"/>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7"/>
        <w:gridCol w:w="1055"/>
        <w:gridCol w:w="6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7" w:type="dxa"/>
            <w:vMerge w:val="restart"/>
            <w:vAlign w:val="center"/>
          </w:tcPr>
          <w:p>
            <w:pPr>
              <w:snapToGrid w:val="0"/>
              <w:contextualSpacing/>
              <w:jc w:val="center"/>
              <w:rPr>
                <w:szCs w:val="21"/>
              </w:rPr>
            </w:pPr>
            <w:r>
              <w:rPr>
                <w:rFonts w:hAnsi="宋体"/>
                <w:szCs w:val="21"/>
              </w:rPr>
              <w:t>危险性分析</w:t>
            </w:r>
          </w:p>
        </w:tc>
        <w:tc>
          <w:tcPr>
            <w:tcW w:w="1055" w:type="dxa"/>
            <w:vAlign w:val="center"/>
          </w:tcPr>
          <w:p>
            <w:pPr>
              <w:snapToGrid w:val="0"/>
              <w:contextualSpacing/>
              <w:jc w:val="center"/>
              <w:rPr>
                <w:szCs w:val="21"/>
              </w:rPr>
            </w:pPr>
            <w:r>
              <w:rPr>
                <w:rFonts w:hAnsi="宋体"/>
                <w:szCs w:val="21"/>
              </w:rPr>
              <w:t>燃烧性</w:t>
            </w:r>
          </w:p>
        </w:tc>
        <w:tc>
          <w:tcPr>
            <w:tcW w:w="6794" w:type="dxa"/>
            <w:vAlign w:val="center"/>
          </w:tcPr>
          <w:p>
            <w:pPr>
              <w:snapToGrid w:val="0"/>
              <w:contextualSpacing/>
              <w:jc w:val="left"/>
              <w:rPr>
                <w:color w:val="000000"/>
                <w:szCs w:val="21"/>
              </w:rPr>
            </w:pPr>
            <w:r>
              <w:rPr>
                <w:rFonts w:hAnsi="宋体"/>
                <w:color w:val="000000"/>
                <w:szCs w:val="21"/>
              </w:rPr>
              <w:t>易燃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7" w:type="dxa"/>
            <w:vMerge w:val="continue"/>
            <w:vAlign w:val="center"/>
          </w:tcPr>
          <w:p>
            <w:pPr>
              <w:snapToGrid w:val="0"/>
              <w:contextualSpacing/>
              <w:jc w:val="center"/>
              <w:rPr>
                <w:szCs w:val="21"/>
              </w:rPr>
            </w:pPr>
          </w:p>
        </w:tc>
        <w:tc>
          <w:tcPr>
            <w:tcW w:w="1055" w:type="dxa"/>
            <w:vAlign w:val="center"/>
          </w:tcPr>
          <w:p>
            <w:pPr>
              <w:snapToGrid w:val="0"/>
              <w:contextualSpacing/>
              <w:jc w:val="center"/>
              <w:rPr>
                <w:szCs w:val="21"/>
              </w:rPr>
            </w:pPr>
            <w:r>
              <w:rPr>
                <w:rFonts w:hAnsi="宋体"/>
                <w:szCs w:val="21"/>
              </w:rPr>
              <w:t>危险特性</w:t>
            </w:r>
          </w:p>
        </w:tc>
        <w:tc>
          <w:tcPr>
            <w:tcW w:w="6794" w:type="dxa"/>
            <w:vAlign w:val="center"/>
          </w:tcPr>
          <w:p>
            <w:pPr>
              <w:snapToGrid w:val="0"/>
              <w:contextualSpacing/>
              <w:jc w:val="left"/>
              <w:rPr>
                <w:color w:val="000000"/>
                <w:szCs w:val="21"/>
              </w:rPr>
            </w:pPr>
            <w:r>
              <w:rPr>
                <w:rFonts w:hAnsi="宋体"/>
                <w:color w:val="000000"/>
                <w:szCs w:val="21"/>
              </w:rPr>
              <w:t>泄漏后的</w:t>
            </w:r>
            <w:r>
              <w:rPr>
                <w:rFonts w:hint="eastAsia" w:hAnsi="宋体"/>
                <w:color w:val="000000"/>
                <w:szCs w:val="21"/>
              </w:rPr>
              <w:t>汽油</w:t>
            </w:r>
            <w:r>
              <w:rPr>
                <w:rFonts w:hAnsi="宋体"/>
                <w:color w:val="000000"/>
                <w:szCs w:val="21"/>
              </w:rPr>
              <w:t>遇明火、高温等燃烧引起火灾。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7" w:type="dxa"/>
            <w:vMerge w:val="continue"/>
            <w:vAlign w:val="center"/>
          </w:tcPr>
          <w:p>
            <w:pPr>
              <w:snapToGrid w:val="0"/>
              <w:contextualSpacing/>
              <w:jc w:val="center"/>
              <w:rPr>
                <w:szCs w:val="21"/>
              </w:rPr>
            </w:pPr>
          </w:p>
        </w:tc>
        <w:tc>
          <w:tcPr>
            <w:tcW w:w="1055" w:type="dxa"/>
            <w:vAlign w:val="center"/>
          </w:tcPr>
          <w:p>
            <w:pPr>
              <w:snapToGrid w:val="0"/>
              <w:contextualSpacing/>
              <w:jc w:val="center"/>
              <w:rPr>
                <w:szCs w:val="21"/>
              </w:rPr>
            </w:pPr>
            <w:r>
              <w:rPr>
                <w:rFonts w:hAnsi="宋体"/>
                <w:szCs w:val="21"/>
              </w:rPr>
              <w:t>事故类型</w:t>
            </w:r>
          </w:p>
        </w:tc>
        <w:tc>
          <w:tcPr>
            <w:tcW w:w="6794" w:type="dxa"/>
            <w:vAlign w:val="center"/>
          </w:tcPr>
          <w:p>
            <w:pPr>
              <w:pStyle w:val="27"/>
              <w:tabs>
                <w:tab w:val="left" w:pos="1672"/>
              </w:tabs>
              <w:autoSpaceDN w:val="0"/>
              <w:snapToGrid w:val="0"/>
              <w:spacing w:before="0" w:beforeAutospacing="0" w:after="0" w:afterAutospacing="0"/>
              <w:contextualSpacing/>
              <w:rPr>
                <w:rFonts w:ascii="Times New Roman" w:hAnsi="Times New Roman" w:cs="Times New Roman"/>
                <w:color w:val="000000"/>
                <w:sz w:val="21"/>
                <w:szCs w:val="21"/>
                <w:lang w:val="en-GB"/>
              </w:rPr>
            </w:pPr>
            <w:r>
              <w:rPr>
                <w:rFonts w:hint="eastAsia" w:ascii="Times New Roman" w:cs="Times New Roman"/>
                <w:color w:val="000000"/>
                <w:sz w:val="21"/>
                <w:szCs w:val="21"/>
              </w:rPr>
              <w:t>汽油在储罐储存</w:t>
            </w:r>
            <w:r>
              <w:rPr>
                <w:rFonts w:ascii="Times New Roman" w:cs="Times New Roman"/>
                <w:color w:val="000000"/>
                <w:sz w:val="21"/>
                <w:szCs w:val="21"/>
              </w:rPr>
              <w:t>，</w:t>
            </w:r>
            <w:r>
              <w:rPr>
                <w:rFonts w:hint="eastAsia" w:ascii="Times New Roman" w:cs="Times New Roman"/>
                <w:color w:val="000000"/>
                <w:sz w:val="21"/>
                <w:szCs w:val="21"/>
              </w:rPr>
              <w:t>阀门及连接管道损坏</w:t>
            </w:r>
            <w:r>
              <w:rPr>
                <w:rFonts w:ascii="Times New Roman" w:cs="Times New Roman"/>
                <w:color w:val="000000"/>
                <w:sz w:val="21"/>
                <w:szCs w:val="21"/>
              </w:rPr>
              <w:t>会导致泄漏</w:t>
            </w:r>
            <w:r>
              <w:rPr>
                <w:rFonts w:hint="eastAsia" w:ascii="Times New Roman" w:cs="Times New Roman"/>
                <w:color w:val="000000"/>
                <w:sz w:val="21"/>
                <w:szCs w:val="21"/>
              </w:rPr>
              <w:t>。</w:t>
            </w:r>
            <w:r>
              <w:rPr>
                <w:rFonts w:ascii="Times New Roman" w:cs="Times New Roman"/>
                <w:color w:val="000000"/>
                <w:sz w:val="21"/>
                <w:szCs w:val="21"/>
              </w:rPr>
              <w:t>泄漏后的</w:t>
            </w:r>
            <w:r>
              <w:rPr>
                <w:rFonts w:hint="eastAsia" w:ascii="Times New Roman" w:cs="Times New Roman"/>
                <w:color w:val="000000"/>
                <w:sz w:val="21"/>
                <w:szCs w:val="21"/>
              </w:rPr>
              <w:t>汽油</w:t>
            </w:r>
            <w:r>
              <w:rPr>
                <w:rFonts w:ascii="Times New Roman" w:cs="Times New Roman"/>
                <w:color w:val="000000"/>
                <w:sz w:val="21"/>
                <w:szCs w:val="21"/>
              </w:rPr>
              <w:t>遇明火、高温等燃烧引起火灾。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2" w:type="dxa"/>
            <w:gridSpan w:val="2"/>
            <w:vAlign w:val="center"/>
          </w:tcPr>
          <w:p>
            <w:pPr>
              <w:snapToGrid w:val="0"/>
              <w:contextualSpacing/>
              <w:jc w:val="center"/>
              <w:rPr>
                <w:szCs w:val="21"/>
              </w:rPr>
            </w:pPr>
            <w:r>
              <w:rPr>
                <w:rFonts w:hAnsi="宋体"/>
                <w:szCs w:val="21"/>
              </w:rPr>
              <w:t>信息报告</w:t>
            </w:r>
          </w:p>
        </w:tc>
        <w:tc>
          <w:tcPr>
            <w:tcW w:w="6794" w:type="dxa"/>
            <w:vAlign w:val="center"/>
          </w:tcPr>
          <w:p>
            <w:pPr>
              <w:pStyle w:val="27"/>
              <w:tabs>
                <w:tab w:val="left" w:pos="1672"/>
              </w:tabs>
              <w:autoSpaceDN w:val="0"/>
              <w:snapToGrid w:val="0"/>
              <w:spacing w:before="0" w:beforeAutospacing="0" w:after="0" w:afterAutospacing="0"/>
              <w:contextualSpacing/>
              <w:rPr>
                <w:rFonts w:ascii="Times New Roman" w:hAnsi="Times New Roman" w:cs="Times New Roman"/>
                <w:color w:val="000000"/>
                <w:spacing w:val="6"/>
                <w:sz w:val="21"/>
                <w:szCs w:val="21"/>
              </w:rPr>
            </w:pPr>
            <w:r>
              <w:rPr>
                <w:rFonts w:ascii="Times New Roman" w:cs="Times New Roman"/>
                <w:b/>
                <w:color w:val="000000"/>
                <w:spacing w:val="6"/>
                <w:sz w:val="21"/>
                <w:szCs w:val="21"/>
              </w:rPr>
              <w:t>上报程序</w:t>
            </w:r>
            <w:r>
              <w:rPr>
                <w:rFonts w:ascii="Times New Roman" w:cs="Times New Roman"/>
                <w:color w:val="000000"/>
                <w:spacing w:val="6"/>
                <w:sz w:val="21"/>
                <w:szCs w:val="21"/>
              </w:rPr>
              <w:t>：事件第一发现人</w:t>
            </w:r>
            <w:r>
              <w:rPr>
                <w:rFonts w:ascii="Times New Roman" w:hAnsi="Times New Roman" w:cs="Times New Roman"/>
                <w:color w:val="000000"/>
                <w:spacing w:val="6"/>
                <w:sz w:val="21"/>
                <w:szCs w:val="21"/>
              </w:rPr>
              <w:t>→</w:t>
            </w:r>
            <w:r>
              <w:rPr>
                <w:rFonts w:hint="eastAsia" w:ascii="Times New Roman" w:cs="Times New Roman"/>
                <w:color w:val="000000"/>
                <w:spacing w:val="6"/>
                <w:sz w:val="21"/>
                <w:szCs w:val="21"/>
              </w:rPr>
              <w:t>化学品</w:t>
            </w:r>
            <w:r>
              <w:rPr>
                <w:rFonts w:ascii="Times New Roman" w:cs="Times New Roman"/>
                <w:color w:val="000000"/>
                <w:spacing w:val="6"/>
                <w:sz w:val="21"/>
                <w:szCs w:val="21"/>
              </w:rPr>
              <w:t>负责人</w:t>
            </w:r>
            <w:r>
              <w:rPr>
                <w:rFonts w:ascii="Times New Roman" w:hAnsi="Times New Roman" w:cs="Times New Roman"/>
                <w:color w:val="000000"/>
                <w:spacing w:val="6"/>
                <w:sz w:val="21"/>
                <w:szCs w:val="21"/>
              </w:rPr>
              <w:t>→</w:t>
            </w:r>
            <w:r>
              <w:rPr>
                <w:rFonts w:ascii="Times New Roman" w:cs="Times New Roman"/>
                <w:color w:val="000000"/>
                <w:spacing w:val="6"/>
                <w:sz w:val="21"/>
                <w:szCs w:val="21"/>
              </w:rPr>
              <w:t>应急响应中心</w:t>
            </w:r>
            <w:r>
              <w:rPr>
                <w:rFonts w:ascii="Times New Roman" w:hAnsi="Times New Roman" w:cs="Times New Roman"/>
                <w:color w:val="000000"/>
                <w:spacing w:val="6"/>
                <w:sz w:val="21"/>
                <w:szCs w:val="21"/>
              </w:rPr>
              <w:t>→</w:t>
            </w:r>
            <w:r>
              <w:rPr>
                <w:rFonts w:ascii="Times New Roman" w:cs="Times New Roman"/>
                <w:color w:val="000000"/>
                <w:spacing w:val="6"/>
                <w:sz w:val="21"/>
                <w:szCs w:val="21"/>
              </w:rPr>
              <w:t>应急指挥中心；若情况紧急，可由事件第一发现人直接上报给应急指挥中心总指挥。</w:t>
            </w:r>
          </w:p>
          <w:p>
            <w:pPr>
              <w:pStyle w:val="27"/>
              <w:tabs>
                <w:tab w:val="left" w:pos="1672"/>
              </w:tabs>
              <w:autoSpaceDN w:val="0"/>
              <w:snapToGrid w:val="0"/>
              <w:spacing w:before="0" w:beforeAutospacing="0" w:after="0" w:afterAutospacing="0"/>
              <w:contextualSpacing/>
              <w:rPr>
                <w:rFonts w:ascii="Times New Roman" w:hAnsi="Times New Roman" w:cs="Times New Roman"/>
                <w:color w:val="000000"/>
                <w:spacing w:val="6"/>
                <w:sz w:val="21"/>
                <w:szCs w:val="21"/>
              </w:rPr>
            </w:pPr>
            <w:r>
              <w:rPr>
                <w:rFonts w:ascii="Times New Roman" w:cs="Times New Roman"/>
                <w:b/>
                <w:color w:val="000000"/>
                <w:spacing w:val="6"/>
                <w:sz w:val="21"/>
                <w:szCs w:val="21"/>
              </w:rPr>
              <w:t>上报方式</w:t>
            </w:r>
            <w:r>
              <w:rPr>
                <w:rFonts w:ascii="Times New Roman" w:cs="Times New Roman"/>
                <w:color w:val="000000"/>
                <w:spacing w:val="6"/>
                <w:sz w:val="21"/>
                <w:szCs w:val="21"/>
              </w:rPr>
              <w:t>：面报、手机或者电话上报</w:t>
            </w:r>
          </w:p>
          <w:p>
            <w:pPr>
              <w:pStyle w:val="27"/>
              <w:tabs>
                <w:tab w:val="left" w:pos="1672"/>
              </w:tabs>
              <w:autoSpaceDN w:val="0"/>
              <w:snapToGrid w:val="0"/>
              <w:spacing w:before="0" w:beforeAutospacing="0" w:after="0" w:afterAutospacing="0" w:line="320" w:lineRule="exact"/>
              <w:contextualSpacing/>
              <w:rPr>
                <w:rFonts w:ascii="Times New Roman" w:hAnsi="Times New Roman" w:cs="Times New Roman"/>
                <w:sz w:val="21"/>
                <w:szCs w:val="21"/>
              </w:rPr>
            </w:pPr>
            <w:r>
              <w:rPr>
                <w:rFonts w:ascii="Times New Roman" w:hAnsi="Times New Roman" w:cs="Times New Roman"/>
                <w:sz w:val="21"/>
                <w:szCs w:val="21"/>
              </w:rPr>
              <w:t>现场处置组组长：</w:t>
            </w:r>
            <w:r>
              <w:rPr>
                <w:rFonts w:hint="eastAsia"/>
                <w:color w:val="FF0000"/>
                <w:sz w:val="21"/>
                <w:szCs w:val="21"/>
                <w:lang w:eastAsia="zh-CN"/>
              </w:rPr>
              <w:t>熊雄</w:t>
            </w:r>
            <w:r>
              <w:rPr>
                <w:rFonts w:ascii="Times New Roman" w:hAnsi="Times New Roman" w:cs="Times New Roman"/>
                <w:sz w:val="21"/>
                <w:szCs w:val="21"/>
              </w:rPr>
              <w:t>；联系方</w:t>
            </w:r>
            <w:r>
              <w:rPr>
                <w:rFonts w:ascii="Times New Roman" w:hAnsi="Times New Roman" w:cs="Times New Roman"/>
                <w:color w:val="FF0000"/>
                <w:sz w:val="21"/>
                <w:szCs w:val="21"/>
              </w:rPr>
              <w:t>式：</w:t>
            </w:r>
            <w:r>
              <w:rPr>
                <w:rFonts w:hint="eastAsia" w:ascii="Times New Roman" w:hAnsi="Times New Roman" w:cs="Times New Roman"/>
                <w:color w:val="FF0000"/>
                <w:sz w:val="21"/>
                <w:szCs w:val="21"/>
              </w:rPr>
              <w:t>18807099122</w:t>
            </w:r>
            <w:r>
              <w:rPr>
                <w:rFonts w:ascii="Times New Roman" w:hAnsi="Times New Roman" w:cs="Times New Roman"/>
                <w:color w:val="FF0000"/>
                <w:sz w:val="21"/>
                <w:szCs w:val="21"/>
              </w:rPr>
              <w:t>；</w:t>
            </w:r>
          </w:p>
          <w:p>
            <w:pPr>
              <w:pStyle w:val="27"/>
              <w:tabs>
                <w:tab w:val="left" w:pos="1672"/>
              </w:tabs>
              <w:autoSpaceDN w:val="0"/>
              <w:snapToGrid w:val="0"/>
              <w:spacing w:before="0" w:beforeAutospacing="0" w:after="0" w:afterAutospacing="0"/>
              <w:contextualSpacing/>
              <w:rPr>
                <w:rFonts w:ascii="Times New Roman" w:hAnsi="Times New Roman" w:cs="Times New Roman"/>
                <w:color w:val="000000"/>
                <w:spacing w:val="6"/>
                <w:sz w:val="21"/>
                <w:szCs w:val="21"/>
              </w:rPr>
            </w:pPr>
            <w:r>
              <w:rPr>
                <w:rFonts w:ascii="Times New Roman" w:hAnsi="Times New Roman" w:cs="Times New Roman"/>
                <w:sz w:val="21"/>
                <w:szCs w:val="21"/>
              </w:rPr>
              <w:t>应急指挥领导小组组长：</w:t>
            </w:r>
            <w:r>
              <w:rPr>
                <w:rFonts w:hint="eastAsia"/>
                <w:color w:val="FF0000"/>
                <w:sz w:val="21"/>
                <w:szCs w:val="21"/>
              </w:rPr>
              <w:t>熊海媛</w:t>
            </w:r>
            <w:r>
              <w:rPr>
                <w:rFonts w:ascii="Times New Roman" w:hAnsi="Times New Roman" w:cs="Times New Roman"/>
                <w:sz w:val="21"/>
                <w:szCs w:val="21"/>
              </w:rPr>
              <w:t>；</w:t>
            </w:r>
            <w:r>
              <w:rPr>
                <w:rFonts w:ascii="Times New Roman" w:hAnsi="Times New Roman" w:cs="Times New Roman"/>
                <w:color w:val="FF0000"/>
                <w:sz w:val="21"/>
                <w:szCs w:val="21"/>
              </w:rPr>
              <w:t>联系方式：</w:t>
            </w:r>
            <w:r>
              <w:rPr>
                <w:rFonts w:hint="eastAsia" w:ascii="Times New Roman" w:hAnsi="Times New Roman" w:cs="Times New Roman"/>
                <w:color w:val="FF0000"/>
                <w:sz w:val="21"/>
                <w:szCs w:val="21"/>
              </w:rPr>
              <w:t>18270832518</w:t>
            </w:r>
            <w:r>
              <w:rPr>
                <w:rFonts w:ascii="Times New Roman" w:hAnsi="Times New Roman" w:cs="Times New Roman"/>
                <w:color w:val="FF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2" w:type="dxa"/>
            <w:gridSpan w:val="2"/>
            <w:vAlign w:val="center"/>
          </w:tcPr>
          <w:p>
            <w:pPr>
              <w:snapToGrid w:val="0"/>
              <w:contextualSpacing/>
              <w:jc w:val="center"/>
              <w:rPr>
                <w:szCs w:val="21"/>
              </w:rPr>
            </w:pPr>
            <w:r>
              <w:rPr>
                <w:rFonts w:hAnsi="宋体"/>
                <w:szCs w:val="21"/>
              </w:rPr>
              <w:t>应急处置措施</w:t>
            </w:r>
          </w:p>
        </w:tc>
        <w:tc>
          <w:tcPr>
            <w:tcW w:w="6794" w:type="dxa"/>
            <w:vAlign w:val="center"/>
          </w:tcPr>
          <w:p>
            <w:pPr>
              <w:pStyle w:val="27"/>
              <w:tabs>
                <w:tab w:val="left" w:pos="1672"/>
              </w:tabs>
              <w:autoSpaceDN w:val="0"/>
              <w:snapToGrid w:val="0"/>
              <w:spacing w:before="0" w:beforeAutospacing="0" w:after="0" w:afterAutospacing="0"/>
              <w:contextualSpacing/>
              <w:rPr>
                <w:rFonts w:ascii="Times New Roman" w:hAnsi="Times New Roman" w:cs="Times New Roman"/>
                <w:b/>
                <w:spacing w:val="6"/>
                <w:sz w:val="21"/>
                <w:szCs w:val="21"/>
              </w:rPr>
            </w:pPr>
            <w:r>
              <w:rPr>
                <w:rFonts w:ascii="Times New Roman" w:cs="Times New Roman"/>
                <w:b/>
                <w:spacing w:val="6"/>
                <w:sz w:val="21"/>
                <w:szCs w:val="21"/>
              </w:rPr>
              <w:t>应急处置措施：</w:t>
            </w:r>
          </w:p>
          <w:p>
            <w:pPr>
              <w:pStyle w:val="27"/>
              <w:tabs>
                <w:tab w:val="left" w:pos="1672"/>
              </w:tabs>
              <w:autoSpaceDN w:val="0"/>
              <w:snapToGrid w:val="0"/>
              <w:spacing w:before="0" w:beforeAutospacing="0" w:after="0" w:afterAutospacing="0"/>
              <w:contextualSpacing/>
              <w:rPr>
                <w:rFonts w:ascii="Times New Roman" w:hAnsi="Times New Roman" w:cs="Times New Roman"/>
                <w:spacing w:val="6"/>
                <w:sz w:val="21"/>
                <w:szCs w:val="21"/>
              </w:rPr>
            </w:pPr>
            <w:r>
              <w:rPr>
                <w:rFonts w:ascii="Times New Roman" w:cs="Times New Roman"/>
                <w:spacing w:val="6"/>
                <w:sz w:val="21"/>
                <w:szCs w:val="21"/>
              </w:rPr>
              <w:t>发生</w:t>
            </w:r>
            <w:r>
              <w:rPr>
                <w:rFonts w:hint="eastAsia" w:ascii="Times New Roman" w:cs="Times New Roman"/>
                <w:color w:val="000000"/>
                <w:sz w:val="21"/>
                <w:szCs w:val="21"/>
              </w:rPr>
              <w:t>汽油</w:t>
            </w:r>
            <w:r>
              <w:rPr>
                <w:rFonts w:ascii="Times New Roman" w:cs="Times New Roman"/>
                <w:spacing w:val="6"/>
                <w:sz w:val="21"/>
                <w:szCs w:val="21"/>
              </w:rPr>
              <w:t>泄漏时，运行值班人员应穿戴好专用防毒面具、胶靴、手套、工作服等个人防护用品；对</w:t>
            </w:r>
            <w:r>
              <w:rPr>
                <w:rFonts w:hint="eastAsia" w:ascii="Times New Roman" w:cs="Times New Roman"/>
                <w:spacing w:val="6"/>
                <w:sz w:val="21"/>
                <w:szCs w:val="21"/>
              </w:rPr>
              <w:t>储罐区</w:t>
            </w:r>
            <w:r>
              <w:rPr>
                <w:rFonts w:ascii="Times New Roman" w:cs="Times New Roman"/>
                <w:spacing w:val="6"/>
                <w:sz w:val="21"/>
                <w:szCs w:val="21"/>
              </w:rPr>
              <w:t>泄漏区域进行排查，及时发现泄漏源并排除。</w:t>
            </w:r>
          </w:p>
          <w:p>
            <w:pPr>
              <w:pStyle w:val="27"/>
              <w:tabs>
                <w:tab w:val="left" w:pos="1672"/>
              </w:tabs>
              <w:autoSpaceDN w:val="0"/>
              <w:snapToGrid w:val="0"/>
              <w:spacing w:before="0" w:beforeAutospacing="0" w:after="0" w:afterAutospacing="0"/>
              <w:contextualSpacing/>
              <w:rPr>
                <w:rFonts w:ascii="Times New Roman" w:hAnsi="Times New Roman" w:cs="Times New Roman"/>
                <w:spacing w:val="6"/>
                <w:sz w:val="21"/>
                <w:szCs w:val="21"/>
              </w:rPr>
            </w:pPr>
            <w:r>
              <w:rPr>
                <w:rFonts w:ascii="Times New Roman" w:cs="Times New Roman"/>
                <w:spacing w:val="6"/>
                <w:sz w:val="21"/>
                <w:szCs w:val="21"/>
              </w:rPr>
              <w:t>泄漏时先进行溢流的围堵，避免污染面积扩散，用沙或泥土吸收溢出的</w:t>
            </w:r>
            <w:r>
              <w:rPr>
                <w:rFonts w:hint="eastAsia" w:ascii="Times New Roman" w:cs="Times New Roman"/>
                <w:spacing w:val="6"/>
                <w:sz w:val="21"/>
                <w:szCs w:val="21"/>
              </w:rPr>
              <w:t>汽油</w:t>
            </w:r>
            <w:r>
              <w:rPr>
                <w:rFonts w:ascii="Times New Roman" w:cs="Times New Roman"/>
                <w:spacing w:val="6"/>
                <w:sz w:val="21"/>
                <w:szCs w:val="21"/>
              </w:rPr>
              <w:t>，然后移至安全地区，以待日后处理。</w:t>
            </w:r>
          </w:p>
          <w:p>
            <w:pPr>
              <w:pStyle w:val="27"/>
              <w:tabs>
                <w:tab w:val="left" w:pos="1672"/>
              </w:tabs>
              <w:autoSpaceDN w:val="0"/>
              <w:snapToGrid w:val="0"/>
              <w:spacing w:before="0" w:beforeAutospacing="0" w:after="0" w:afterAutospacing="0"/>
              <w:contextualSpacing/>
              <w:rPr>
                <w:rFonts w:ascii="Times New Roman" w:hAnsi="Times New Roman" w:cs="Times New Roman"/>
                <w:spacing w:val="6"/>
                <w:sz w:val="21"/>
                <w:szCs w:val="21"/>
              </w:rPr>
            </w:pPr>
            <w:r>
              <w:rPr>
                <w:rFonts w:ascii="Times New Roman" w:cs="Times New Roman"/>
                <w:spacing w:val="6"/>
                <w:sz w:val="21"/>
                <w:szCs w:val="21"/>
              </w:rPr>
              <w:t>泄漏现场禁止出现明火、高温，防止发生火灾等。</w:t>
            </w:r>
          </w:p>
          <w:p>
            <w:pPr>
              <w:pStyle w:val="27"/>
              <w:tabs>
                <w:tab w:val="left" w:pos="1672"/>
              </w:tabs>
              <w:autoSpaceDN w:val="0"/>
              <w:snapToGrid w:val="0"/>
              <w:spacing w:before="0" w:beforeAutospacing="0" w:after="0" w:afterAutospacing="0"/>
              <w:contextualSpacing/>
              <w:rPr>
                <w:rFonts w:ascii="Times New Roman" w:hAnsi="Times New Roman" w:cs="Times New Roman"/>
                <w:spacing w:val="6"/>
                <w:sz w:val="21"/>
                <w:szCs w:val="21"/>
              </w:rPr>
            </w:pPr>
            <w:r>
              <w:rPr>
                <w:rFonts w:ascii="Times New Roman" w:cs="Times New Roman"/>
                <w:spacing w:val="6"/>
                <w:sz w:val="21"/>
                <w:szCs w:val="21"/>
              </w:rPr>
              <w:t>小型火灾时立刻用灭火器灭火，如其有迅速扩大之势，应避免靠近，须立即打开消火栓降低着火点及附近</w:t>
            </w:r>
            <w:r>
              <w:rPr>
                <w:rFonts w:hint="eastAsia" w:ascii="Times New Roman" w:cs="Times New Roman"/>
                <w:spacing w:val="6"/>
                <w:sz w:val="21"/>
                <w:szCs w:val="21"/>
              </w:rPr>
              <w:t>汽油</w:t>
            </w:r>
            <w:r>
              <w:rPr>
                <w:rFonts w:ascii="Times New Roman" w:cs="Times New Roman"/>
                <w:spacing w:val="6"/>
                <w:sz w:val="21"/>
                <w:szCs w:val="21"/>
              </w:rPr>
              <w:t>的温度，控制火势，避免发生爆炸，待火焰减低后再用灭火器灭火。大型火灾时应立刻开启消火栓降温，控制火势，避免爆炸，等待救援。</w:t>
            </w:r>
          </w:p>
          <w:p>
            <w:pPr>
              <w:pStyle w:val="27"/>
              <w:tabs>
                <w:tab w:val="left" w:pos="1672"/>
              </w:tabs>
              <w:autoSpaceDN w:val="0"/>
              <w:snapToGrid w:val="0"/>
              <w:spacing w:before="0" w:beforeAutospacing="0" w:after="0" w:afterAutospacing="0"/>
              <w:contextualSpacing/>
              <w:rPr>
                <w:rFonts w:ascii="Times New Roman" w:hAnsi="Times New Roman" w:cs="Times New Roman"/>
                <w:spacing w:val="6"/>
                <w:sz w:val="21"/>
                <w:szCs w:val="21"/>
              </w:rPr>
            </w:pPr>
            <w:r>
              <w:rPr>
                <w:rFonts w:ascii="Times New Roman" w:cs="Times New Roman"/>
                <w:spacing w:val="6"/>
                <w:sz w:val="21"/>
                <w:szCs w:val="21"/>
              </w:rPr>
              <w:t>皮肤接触：脱去被污染的衣着，用肥皂水和清水彻底冲洗皮肤。</w:t>
            </w:r>
          </w:p>
          <w:p>
            <w:pPr>
              <w:pStyle w:val="27"/>
              <w:tabs>
                <w:tab w:val="left" w:pos="1672"/>
              </w:tabs>
              <w:autoSpaceDN w:val="0"/>
              <w:snapToGrid w:val="0"/>
              <w:spacing w:before="0" w:beforeAutospacing="0" w:after="0" w:afterAutospacing="0"/>
              <w:contextualSpacing/>
              <w:rPr>
                <w:rFonts w:ascii="Times New Roman" w:hAnsi="Times New Roman" w:cs="Times New Roman"/>
                <w:spacing w:val="6"/>
                <w:sz w:val="21"/>
                <w:szCs w:val="21"/>
              </w:rPr>
            </w:pPr>
            <w:r>
              <w:rPr>
                <w:rFonts w:ascii="Times New Roman" w:cs="Times New Roman"/>
                <w:spacing w:val="6"/>
                <w:sz w:val="21"/>
                <w:szCs w:val="21"/>
              </w:rPr>
              <w:t>眼睛接触：提起眼睑，用流动清水或</w:t>
            </w:r>
            <w:r>
              <w:fldChar w:fldCharType="begin"/>
            </w:r>
            <w:r>
              <w:instrText xml:space="preserve"> HYPERLINK "http://baike.baidu.com/view/77884.htm" \t "_blank" </w:instrText>
            </w:r>
            <w:r>
              <w:fldChar w:fldCharType="separate"/>
            </w:r>
            <w:r>
              <w:rPr>
                <w:rFonts w:ascii="Times New Roman" w:cs="Times New Roman"/>
                <w:sz w:val="21"/>
              </w:rPr>
              <w:t>生理盐水</w:t>
            </w:r>
            <w:r>
              <w:rPr>
                <w:rFonts w:ascii="Times New Roman" w:cs="Times New Roman"/>
                <w:sz w:val="21"/>
              </w:rPr>
              <w:fldChar w:fldCharType="end"/>
            </w:r>
            <w:r>
              <w:rPr>
                <w:rFonts w:ascii="Times New Roman" w:cs="Times New Roman"/>
                <w:spacing w:val="6"/>
                <w:sz w:val="21"/>
                <w:szCs w:val="21"/>
              </w:rPr>
              <w:t>冲洗，就医。</w:t>
            </w:r>
          </w:p>
          <w:p>
            <w:pPr>
              <w:pStyle w:val="27"/>
              <w:tabs>
                <w:tab w:val="left" w:pos="1672"/>
              </w:tabs>
              <w:autoSpaceDN w:val="0"/>
              <w:snapToGrid w:val="0"/>
              <w:spacing w:before="0" w:beforeAutospacing="0" w:after="0" w:afterAutospacing="0"/>
              <w:contextualSpacing/>
              <w:rPr>
                <w:rFonts w:ascii="Times New Roman" w:hAnsi="Times New Roman" w:cs="Times New Roman"/>
                <w:spacing w:val="6"/>
                <w:sz w:val="21"/>
                <w:szCs w:val="21"/>
              </w:rPr>
            </w:pPr>
            <w:r>
              <w:rPr>
                <w:rFonts w:ascii="Times New Roman" w:cs="Times New Roman"/>
                <w:spacing w:val="6"/>
                <w:sz w:val="21"/>
                <w:szCs w:val="21"/>
              </w:rPr>
              <w:t>吸入：迅速脱离现场至空气新鲜处，保持呼吸道通畅。如</w:t>
            </w:r>
            <w:r>
              <w:fldChar w:fldCharType="begin"/>
            </w:r>
            <w:r>
              <w:instrText xml:space="preserve"> HYPERLINK "http://baike.baidu.com/view/140763.htm" \t "_blank" </w:instrText>
            </w:r>
            <w:r>
              <w:fldChar w:fldCharType="separate"/>
            </w:r>
            <w:r>
              <w:rPr>
                <w:rFonts w:ascii="Times New Roman" w:cs="Times New Roman"/>
                <w:sz w:val="21"/>
              </w:rPr>
              <w:t>呼吸困难</w:t>
            </w:r>
            <w:r>
              <w:rPr>
                <w:rFonts w:ascii="Times New Roman" w:cs="Times New Roman"/>
                <w:sz w:val="21"/>
              </w:rPr>
              <w:fldChar w:fldCharType="end"/>
            </w:r>
            <w:r>
              <w:rPr>
                <w:rFonts w:ascii="Times New Roman" w:cs="Times New Roman"/>
                <w:spacing w:val="6"/>
                <w:sz w:val="21"/>
                <w:szCs w:val="21"/>
              </w:rPr>
              <w:t>，给输氧；如呼吸停止，立即进行人工呼吸，就医。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2" w:type="dxa"/>
            <w:gridSpan w:val="2"/>
            <w:vAlign w:val="center"/>
          </w:tcPr>
          <w:p>
            <w:pPr>
              <w:snapToGrid w:val="0"/>
              <w:contextualSpacing/>
              <w:jc w:val="center"/>
              <w:rPr>
                <w:szCs w:val="21"/>
              </w:rPr>
            </w:pPr>
            <w:r>
              <w:rPr>
                <w:rFonts w:hAnsi="宋体"/>
                <w:szCs w:val="21"/>
              </w:rPr>
              <w:t>注意事项</w:t>
            </w:r>
          </w:p>
        </w:tc>
        <w:tc>
          <w:tcPr>
            <w:tcW w:w="6794" w:type="dxa"/>
            <w:vAlign w:val="center"/>
          </w:tcPr>
          <w:p>
            <w:pPr>
              <w:pStyle w:val="27"/>
              <w:tabs>
                <w:tab w:val="left" w:pos="1672"/>
              </w:tabs>
              <w:autoSpaceDN w:val="0"/>
              <w:snapToGrid w:val="0"/>
              <w:spacing w:before="0" w:beforeAutospacing="0" w:after="0" w:afterAutospacing="0"/>
              <w:contextualSpacing/>
              <w:rPr>
                <w:rFonts w:ascii="Times New Roman" w:hAnsi="Times New Roman" w:cs="Times New Roman"/>
                <w:spacing w:val="6"/>
                <w:sz w:val="21"/>
                <w:szCs w:val="21"/>
              </w:rPr>
            </w:pPr>
            <w:r>
              <w:rPr>
                <w:rFonts w:ascii="Times New Roman" w:cs="Times New Roman"/>
                <w:spacing w:val="6"/>
                <w:sz w:val="21"/>
                <w:szCs w:val="21"/>
              </w:rPr>
              <w:t>①现场救人之前应先确认自己的能力和现场状况是否满足对他人施救的需要。</w:t>
            </w:r>
          </w:p>
          <w:p>
            <w:pPr>
              <w:pStyle w:val="27"/>
              <w:tabs>
                <w:tab w:val="left" w:pos="1672"/>
              </w:tabs>
              <w:autoSpaceDN w:val="0"/>
              <w:snapToGrid w:val="0"/>
              <w:spacing w:before="0" w:beforeAutospacing="0" w:after="0" w:afterAutospacing="0"/>
              <w:contextualSpacing/>
              <w:rPr>
                <w:rFonts w:ascii="Times New Roman" w:hAnsi="Times New Roman" w:cs="Times New Roman"/>
                <w:spacing w:val="6"/>
                <w:sz w:val="21"/>
                <w:szCs w:val="21"/>
              </w:rPr>
            </w:pPr>
            <w:r>
              <w:rPr>
                <w:rFonts w:ascii="Times New Roman" w:cs="Times New Roman"/>
                <w:spacing w:val="6"/>
                <w:sz w:val="21"/>
                <w:szCs w:val="21"/>
              </w:rPr>
              <w:t>②抢险过程有限空间内抢险人员要与外面监护人员应保持通讯联络畅通并确定好联络信号，在抢险人员撤离前，监护人员不得离开监护岗位。</w:t>
            </w:r>
          </w:p>
          <w:p>
            <w:pPr>
              <w:pStyle w:val="27"/>
              <w:tabs>
                <w:tab w:val="left" w:pos="1672"/>
              </w:tabs>
              <w:autoSpaceDN w:val="0"/>
              <w:snapToGrid w:val="0"/>
              <w:spacing w:before="0" w:beforeAutospacing="0" w:after="0" w:afterAutospacing="0"/>
              <w:contextualSpacing/>
              <w:rPr>
                <w:rFonts w:ascii="Times New Roman" w:hAnsi="Times New Roman" w:cs="Times New Roman"/>
                <w:spacing w:val="6"/>
                <w:sz w:val="21"/>
                <w:szCs w:val="21"/>
              </w:rPr>
            </w:pPr>
            <w:r>
              <w:rPr>
                <w:rFonts w:ascii="Times New Roman" w:cs="Times New Roman"/>
                <w:spacing w:val="6"/>
                <w:sz w:val="21"/>
                <w:szCs w:val="21"/>
              </w:rPr>
              <w:t>③应急救援人员进入事故现场，应做好安全防护措施。</w:t>
            </w:r>
          </w:p>
        </w:tc>
      </w:tr>
    </w:tbl>
    <w:p>
      <w:pPr>
        <w:spacing w:before="156" w:beforeLines="50" w:after="156" w:afterLines="50"/>
        <w:jc w:val="center"/>
        <w:rPr>
          <w:b/>
          <w:color w:val="000000"/>
        </w:rPr>
      </w:pPr>
    </w:p>
    <w:p>
      <w:pPr>
        <w:spacing w:before="156" w:beforeLines="50" w:after="156" w:afterLines="50"/>
        <w:jc w:val="center"/>
        <w:rPr>
          <w:b/>
          <w:color w:val="000000"/>
        </w:rPr>
      </w:pPr>
    </w:p>
    <w:p>
      <w:pPr>
        <w:spacing w:before="156" w:beforeLines="50" w:after="156" w:afterLines="50"/>
        <w:jc w:val="center"/>
        <w:rPr>
          <w:b/>
          <w:color w:val="000000"/>
        </w:rPr>
      </w:pPr>
    </w:p>
    <w:p>
      <w:pPr>
        <w:spacing w:before="156" w:beforeLines="50" w:after="156" w:afterLines="50"/>
        <w:jc w:val="center"/>
        <w:rPr>
          <w:b/>
          <w:color w:val="000000"/>
        </w:rPr>
      </w:pPr>
    </w:p>
    <w:p>
      <w:pPr>
        <w:spacing w:before="156" w:beforeLines="50" w:after="156" w:afterLines="50"/>
        <w:jc w:val="center"/>
        <w:rPr>
          <w:b/>
          <w:color w:val="000000"/>
        </w:rPr>
      </w:pPr>
    </w:p>
    <w:p>
      <w:pPr>
        <w:spacing w:before="156" w:beforeLines="50" w:after="156" w:afterLines="50"/>
        <w:jc w:val="center"/>
        <w:rPr>
          <w:b/>
          <w:color w:val="000000"/>
        </w:rPr>
      </w:pPr>
    </w:p>
    <w:p>
      <w:pPr>
        <w:spacing w:before="156" w:beforeLines="50" w:after="156" w:afterLines="50"/>
        <w:jc w:val="center"/>
        <w:rPr>
          <w:b/>
          <w:color w:val="000000"/>
        </w:rPr>
      </w:pPr>
    </w:p>
    <w:p>
      <w:pPr>
        <w:spacing w:before="156" w:beforeLines="50" w:after="156" w:afterLines="50"/>
        <w:jc w:val="center"/>
        <w:rPr>
          <w:b/>
          <w:color w:val="000000"/>
        </w:rPr>
      </w:pPr>
    </w:p>
    <w:p>
      <w:pPr>
        <w:spacing w:line="500" w:lineRule="exact"/>
        <w:jc w:val="center"/>
        <w:rPr>
          <w:b/>
          <w:color w:val="000000"/>
        </w:rPr>
      </w:pPr>
      <w:r>
        <w:rPr>
          <w:rFonts w:hint="eastAsia"/>
          <w:b/>
          <w:color w:val="000000"/>
        </w:rPr>
        <w:t>表2  废气超标排放事故应急处置卡</w:t>
      </w:r>
    </w:p>
    <w:tbl>
      <w:tblPr>
        <w:tblStyle w:val="31"/>
        <w:tblW w:w="832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0"/>
        <w:gridCol w:w="1560"/>
        <w:gridCol w:w="5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40" w:type="dxa"/>
            <w:vMerge w:val="restart"/>
            <w:vAlign w:val="center"/>
          </w:tcPr>
          <w:p>
            <w:pPr>
              <w:pStyle w:val="55"/>
              <w:spacing w:line="400" w:lineRule="exact"/>
              <w:jc w:val="both"/>
              <w:rPr>
                <w:rFonts w:ascii="Times New Roman" w:hAnsi="Times New Roman"/>
                <w:b/>
                <w:color w:val="000000"/>
                <w:sz w:val="21"/>
                <w:szCs w:val="21"/>
              </w:rPr>
            </w:pPr>
            <w:r>
              <w:rPr>
                <w:rFonts w:ascii="Times New Roman" w:hAnsi="宋体"/>
                <w:b/>
                <w:color w:val="000000"/>
                <w:sz w:val="21"/>
                <w:szCs w:val="21"/>
              </w:rPr>
              <w:t>事故特征</w:t>
            </w:r>
          </w:p>
        </w:tc>
        <w:tc>
          <w:tcPr>
            <w:tcW w:w="1560" w:type="dxa"/>
            <w:vAlign w:val="center"/>
          </w:tcPr>
          <w:p>
            <w:pPr>
              <w:pStyle w:val="55"/>
              <w:spacing w:line="400" w:lineRule="exact"/>
              <w:rPr>
                <w:rFonts w:ascii="Times New Roman" w:hAnsi="Times New Roman"/>
                <w:color w:val="000000"/>
                <w:sz w:val="21"/>
                <w:szCs w:val="21"/>
              </w:rPr>
            </w:pPr>
            <w:r>
              <w:rPr>
                <w:rFonts w:ascii="Times New Roman" w:hAnsi="宋体"/>
                <w:color w:val="000000"/>
                <w:sz w:val="21"/>
                <w:szCs w:val="21"/>
              </w:rPr>
              <w:t>事故类型和危险程度</w:t>
            </w:r>
          </w:p>
        </w:tc>
        <w:tc>
          <w:tcPr>
            <w:tcW w:w="5625" w:type="dxa"/>
            <w:vAlign w:val="center"/>
          </w:tcPr>
          <w:p>
            <w:pPr>
              <w:pStyle w:val="55"/>
              <w:spacing w:line="400" w:lineRule="exact"/>
              <w:ind w:left="840" w:hanging="420"/>
              <w:rPr>
                <w:rFonts w:ascii="Times New Roman" w:hAnsi="Times New Roman"/>
                <w:color w:val="000000"/>
                <w:sz w:val="21"/>
                <w:szCs w:val="21"/>
              </w:rPr>
            </w:pPr>
            <w:r>
              <w:rPr>
                <w:rFonts w:ascii="Times New Roman" w:hAnsi="宋体"/>
                <w:color w:val="000000"/>
                <w:sz w:val="21"/>
                <w:szCs w:val="21"/>
              </w:rPr>
              <w:t>废气超标排放，根据废气超标排放时间及程度分为</w:t>
            </w:r>
            <w:r>
              <w:rPr>
                <w:rFonts w:hint="eastAsia" w:ascii="Times New Roman" w:hAnsi="宋体"/>
                <w:color w:val="000000"/>
                <w:sz w:val="21"/>
                <w:szCs w:val="21"/>
              </w:rPr>
              <w:t>车间</w:t>
            </w:r>
            <w:r>
              <w:rPr>
                <w:rFonts w:ascii="Times New Roman" w:hAnsi="宋体"/>
                <w:color w:val="000000"/>
                <w:sz w:val="21"/>
                <w:szCs w:val="21"/>
              </w:rPr>
              <w:t>级（Ⅱ级）、</w:t>
            </w:r>
            <w:r>
              <w:rPr>
                <w:rFonts w:hint="eastAsia" w:ascii="Times New Roman" w:hAnsi="宋体"/>
                <w:color w:val="000000"/>
                <w:sz w:val="21"/>
                <w:szCs w:val="21"/>
              </w:rPr>
              <w:t>公司级</w:t>
            </w:r>
            <w:r>
              <w:rPr>
                <w:rFonts w:ascii="Times New Roman" w:hAnsi="宋体"/>
                <w:color w:val="000000"/>
                <w:sz w:val="21"/>
                <w:szCs w:val="21"/>
              </w:rPr>
              <w:t>别（</w:t>
            </w:r>
            <w:r>
              <w:rPr>
                <w:rFonts w:hint="eastAsia" w:ascii="Times New Roman" w:hAnsi="宋体"/>
                <w:color w:val="000000"/>
                <w:sz w:val="21"/>
                <w:szCs w:val="21"/>
              </w:rPr>
              <w:t>I</w:t>
            </w:r>
            <w:r>
              <w:rPr>
                <w:rFonts w:ascii="Times New Roman" w:hAnsi="宋体"/>
                <w:color w:val="000000"/>
                <w:sz w:val="21"/>
                <w:szCs w:val="21"/>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40" w:type="dxa"/>
            <w:vMerge w:val="continue"/>
            <w:vAlign w:val="center"/>
          </w:tcPr>
          <w:p>
            <w:pPr>
              <w:pStyle w:val="102"/>
              <w:spacing w:line="400" w:lineRule="exact"/>
              <w:ind w:firstLine="420"/>
              <w:rPr>
                <w:rFonts w:ascii="Times New Roman" w:hAnsi="Times New Roman"/>
                <w:b/>
                <w:color w:val="000000"/>
                <w:sz w:val="21"/>
                <w:szCs w:val="21"/>
              </w:rPr>
            </w:pPr>
          </w:p>
        </w:tc>
        <w:tc>
          <w:tcPr>
            <w:tcW w:w="1560" w:type="dxa"/>
            <w:vAlign w:val="center"/>
          </w:tcPr>
          <w:p>
            <w:pPr>
              <w:pStyle w:val="102"/>
              <w:spacing w:line="400" w:lineRule="exact"/>
              <w:jc w:val="center"/>
              <w:rPr>
                <w:rFonts w:ascii="Times New Roman" w:hAnsi="Times New Roman"/>
                <w:color w:val="000000"/>
                <w:sz w:val="21"/>
                <w:szCs w:val="21"/>
              </w:rPr>
            </w:pPr>
            <w:r>
              <w:rPr>
                <w:rFonts w:ascii="Times New Roman" w:hAnsi="宋体"/>
                <w:color w:val="000000"/>
                <w:sz w:val="21"/>
                <w:szCs w:val="21"/>
              </w:rPr>
              <w:t>事故征兆</w:t>
            </w:r>
          </w:p>
        </w:tc>
        <w:tc>
          <w:tcPr>
            <w:tcW w:w="5625" w:type="dxa"/>
            <w:vAlign w:val="center"/>
          </w:tcPr>
          <w:p>
            <w:pPr>
              <w:pStyle w:val="102"/>
              <w:spacing w:line="400" w:lineRule="exact"/>
              <w:rPr>
                <w:rFonts w:ascii="Times New Roman" w:hAnsi="Times New Roman"/>
                <w:color w:val="000000"/>
                <w:sz w:val="21"/>
                <w:szCs w:val="21"/>
              </w:rPr>
            </w:pPr>
            <w:r>
              <w:rPr>
                <w:rFonts w:ascii="Times New Roman" w:hAnsi="宋体"/>
                <w:color w:val="000000"/>
                <w:sz w:val="21"/>
                <w:szCs w:val="21"/>
              </w:rPr>
              <w:t>废气处理设施故障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40" w:type="dxa"/>
            <w:vMerge w:val="continue"/>
            <w:vAlign w:val="center"/>
          </w:tcPr>
          <w:p>
            <w:pPr>
              <w:pStyle w:val="102"/>
              <w:spacing w:line="400" w:lineRule="exact"/>
              <w:ind w:firstLine="420"/>
              <w:rPr>
                <w:rFonts w:ascii="Times New Roman" w:hAnsi="Times New Roman"/>
                <w:b/>
                <w:color w:val="000000"/>
                <w:sz w:val="21"/>
                <w:szCs w:val="21"/>
              </w:rPr>
            </w:pPr>
          </w:p>
        </w:tc>
        <w:tc>
          <w:tcPr>
            <w:tcW w:w="1560" w:type="dxa"/>
            <w:vAlign w:val="center"/>
          </w:tcPr>
          <w:p>
            <w:pPr>
              <w:pStyle w:val="102"/>
              <w:spacing w:line="400" w:lineRule="exact"/>
              <w:rPr>
                <w:rFonts w:ascii="Times New Roman" w:hAnsi="Times New Roman"/>
                <w:color w:val="000000"/>
                <w:sz w:val="21"/>
                <w:szCs w:val="21"/>
              </w:rPr>
            </w:pPr>
            <w:r>
              <w:rPr>
                <w:rFonts w:ascii="Times New Roman" w:hAnsi="宋体"/>
                <w:color w:val="000000"/>
                <w:sz w:val="21"/>
                <w:szCs w:val="21"/>
              </w:rPr>
              <w:t>危险化学品</w:t>
            </w:r>
          </w:p>
        </w:tc>
        <w:tc>
          <w:tcPr>
            <w:tcW w:w="5625" w:type="dxa"/>
            <w:vAlign w:val="center"/>
          </w:tcPr>
          <w:p>
            <w:pPr>
              <w:pStyle w:val="102"/>
              <w:spacing w:line="400" w:lineRule="exact"/>
              <w:rPr>
                <w:rFonts w:ascii="Times New Roman" w:hAnsi="Times New Roman"/>
                <w:sz w:val="21"/>
                <w:szCs w:val="21"/>
              </w:rPr>
            </w:pPr>
            <w:r>
              <w:rPr>
                <w:rFonts w:hint="eastAsia" w:ascii="Times New Roman" w:hAnsi="宋体"/>
                <w:sz w:val="21"/>
                <w:szCs w:val="21"/>
              </w:rPr>
              <w:t>非甲烷总烃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40" w:type="dxa"/>
            <w:vMerge w:val="continue"/>
            <w:vAlign w:val="center"/>
          </w:tcPr>
          <w:p>
            <w:pPr>
              <w:pStyle w:val="102"/>
              <w:spacing w:line="400" w:lineRule="exact"/>
              <w:ind w:firstLine="420"/>
              <w:rPr>
                <w:rFonts w:ascii="Times New Roman" w:hAnsi="Times New Roman"/>
                <w:b/>
                <w:color w:val="000000"/>
                <w:sz w:val="21"/>
                <w:szCs w:val="21"/>
              </w:rPr>
            </w:pPr>
          </w:p>
        </w:tc>
        <w:tc>
          <w:tcPr>
            <w:tcW w:w="1560" w:type="dxa"/>
            <w:vAlign w:val="center"/>
          </w:tcPr>
          <w:p>
            <w:pPr>
              <w:pStyle w:val="102"/>
              <w:spacing w:line="400" w:lineRule="exact"/>
              <w:rPr>
                <w:rFonts w:ascii="Times New Roman" w:hAnsi="Times New Roman"/>
                <w:color w:val="000000"/>
                <w:sz w:val="21"/>
                <w:szCs w:val="21"/>
              </w:rPr>
            </w:pPr>
            <w:r>
              <w:rPr>
                <w:rFonts w:ascii="Times New Roman" w:hAnsi="宋体"/>
                <w:color w:val="000000"/>
                <w:sz w:val="21"/>
                <w:szCs w:val="21"/>
              </w:rPr>
              <w:t>事故发生区域</w:t>
            </w:r>
          </w:p>
        </w:tc>
        <w:tc>
          <w:tcPr>
            <w:tcW w:w="5625" w:type="dxa"/>
            <w:vAlign w:val="center"/>
          </w:tcPr>
          <w:p>
            <w:pPr>
              <w:pStyle w:val="102"/>
              <w:spacing w:line="400" w:lineRule="exact"/>
              <w:rPr>
                <w:rFonts w:ascii="Times New Roman" w:hAnsi="Times New Roman"/>
                <w:sz w:val="21"/>
                <w:szCs w:val="21"/>
              </w:rPr>
            </w:pPr>
            <w:r>
              <w:rPr>
                <w:rFonts w:ascii="Times New Roman" w:hAnsi="宋体"/>
                <w:sz w:val="21"/>
                <w:szCs w:val="21"/>
              </w:rPr>
              <w:t>废气处理设施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40" w:type="dxa"/>
            <w:vMerge w:val="continue"/>
            <w:vAlign w:val="center"/>
          </w:tcPr>
          <w:p>
            <w:pPr>
              <w:pStyle w:val="102"/>
              <w:spacing w:line="400" w:lineRule="exact"/>
              <w:ind w:firstLine="420"/>
              <w:rPr>
                <w:rFonts w:ascii="Times New Roman" w:hAnsi="Times New Roman"/>
                <w:b/>
                <w:color w:val="000000"/>
                <w:sz w:val="21"/>
                <w:szCs w:val="21"/>
              </w:rPr>
            </w:pPr>
          </w:p>
        </w:tc>
        <w:tc>
          <w:tcPr>
            <w:tcW w:w="1560" w:type="dxa"/>
            <w:vAlign w:val="center"/>
          </w:tcPr>
          <w:p>
            <w:pPr>
              <w:pStyle w:val="102"/>
              <w:spacing w:line="400" w:lineRule="exact"/>
              <w:rPr>
                <w:rFonts w:ascii="Times New Roman" w:hAnsi="Times New Roman"/>
                <w:color w:val="000000"/>
                <w:sz w:val="21"/>
                <w:szCs w:val="21"/>
              </w:rPr>
            </w:pPr>
            <w:r>
              <w:rPr>
                <w:rFonts w:ascii="Times New Roman" w:hAnsi="宋体"/>
                <w:color w:val="000000"/>
                <w:sz w:val="21"/>
                <w:szCs w:val="21"/>
              </w:rPr>
              <w:t>事故后果</w:t>
            </w:r>
          </w:p>
        </w:tc>
        <w:tc>
          <w:tcPr>
            <w:tcW w:w="5625" w:type="dxa"/>
            <w:vAlign w:val="center"/>
          </w:tcPr>
          <w:p>
            <w:pPr>
              <w:pStyle w:val="102"/>
              <w:spacing w:line="400" w:lineRule="exact"/>
              <w:rPr>
                <w:rFonts w:ascii="Times New Roman" w:hAnsi="Times New Roman"/>
                <w:sz w:val="21"/>
                <w:szCs w:val="21"/>
              </w:rPr>
            </w:pPr>
            <w:r>
              <w:rPr>
                <w:rFonts w:ascii="Times New Roman" w:hAnsi="宋体"/>
                <w:sz w:val="21"/>
                <w:szCs w:val="21"/>
              </w:rPr>
              <w:t>可能影响大气环境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40" w:type="dxa"/>
            <w:vAlign w:val="center"/>
          </w:tcPr>
          <w:p>
            <w:pPr>
              <w:pStyle w:val="102"/>
              <w:spacing w:line="400" w:lineRule="exact"/>
              <w:rPr>
                <w:rFonts w:ascii="Times New Roman" w:hAnsi="Times New Roman"/>
                <w:b/>
                <w:color w:val="000000"/>
                <w:sz w:val="21"/>
                <w:szCs w:val="21"/>
              </w:rPr>
            </w:pPr>
            <w:r>
              <w:rPr>
                <w:rFonts w:ascii="Times New Roman" w:hAnsi="宋体"/>
                <w:b/>
                <w:sz w:val="21"/>
              </w:rPr>
              <w:t>信息报告</w:t>
            </w:r>
          </w:p>
        </w:tc>
        <w:tc>
          <w:tcPr>
            <w:tcW w:w="7185" w:type="dxa"/>
            <w:gridSpan w:val="2"/>
            <w:vAlign w:val="center"/>
          </w:tcPr>
          <w:p>
            <w:pPr>
              <w:pStyle w:val="27"/>
              <w:tabs>
                <w:tab w:val="left" w:pos="1672"/>
              </w:tabs>
              <w:autoSpaceDN w:val="0"/>
              <w:snapToGrid w:val="0"/>
              <w:spacing w:before="0" w:beforeAutospacing="0" w:after="0" w:afterAutospacing="0" w:line="400" w:lineRule="exact"/>
              <w:contextualSpacing/>
              <w:rPr>
                <w:rFonts w:ascii="Times New Roman" w:hAnsi="Times New Roman" w:cs="Times New Roman"/>
                <w:spacing w:val="6"/>
                <w:sz w:val="21"/>
                <w:szCs w:val="21"/>
              </w:rPr>
            </w:pPr>
            <w:r>
              <w:rPr>
                <w:rFonts w:ascii="Times New Roman" w:cs="Times New Roman"/>
                <w:spacing w:val="6"/>
                <w:sz w:val="21"/>
                <w:szCs w:val="21"/>
              </w:rPr>
              <w:t>上报程序：事件现场发现者</w:t>
            </w:r>
            <w:r>
              <w:rPr>
                <w:rFonts w:ascii="Times New Roman" w:hAnsi="Times New Roman" w:cs="Times New Roman"/>
                <w:spacing w:val="6"/>
                <w:sz w:val="21"/>
                <w:szCs w:val="21"/>
              </w:rPr>
              <w:t>→</w:t>
            </w:r>
            <w:r>
              <w:rPr>
                <w:rFonts w:ascii="Times New Roman" w:cs="Times New Roman"/>
                <w:spacing w:val="6"/>
                <w:sz w:val="21"/>
                <w:szCs w:val="21"/>
              </w:rPr>
              <w:t>班组组长</w:t>
            </w:r>
            <w:r>
              <w:rPr>
                <w:rFonts w:ascii="Times New Roman" w:hAnsi="Times New Roman" w:cs="Times New Roman"/>
                <w:spacing w:val="6"/>
                <w:sz w:val="21"/>
                <w:szCs w:val="21"/>
              </w:rPr>
              <w:t>→</w:t>
            </w:r>
            <w:r>
              <w:rPr>
                <w:rFonts w:ascii="Times New Roman" w:cs="Times New Roman"/>
                <w:spacing w:val="6"/>
                <w:sz w:val="21"/>
                <w:szCs w:val="21"/>
              </w:rPr>
              <w:t>应急</w:t>
            </w:r>
            <w:r>
              <w:rPr>
                <w:rFonts w:hint="eastAsia" w:ascii="Times New Roman" w:cs="Times New Roman"/>
                <w:spacing w:val="6"/>
                <w:sz w:val="21"/>
                <w:szCs w:val="21"/>
              </w:rPr>
              <w:t>指挥</w:t>
            </w:r>
            <w:r>
              <w:rPr>
                <w:rFonts w:ascii="Times New Roman" w:cs="Times New Roman"/>
                <w:spacing w:val="6"/>
                <w:sz w:val="21"/>
                <w:szCs w:val="21"/>
              </w:rPr>
              <w:t>领导小组组长</w:t>
            </w:r>
            <w:r>
              <w:rPr>
                <w:rFonts w:ascii="Times New Roman" w:hAnsi="Times New Roman" w:cs="Times New Roman"/>
                <w:spacing w:val="6"/>
                <w:sz w:val="21"/>
                <w:szCs w:val="21"/>
              </w:rPr>
              <w:t>→</w:t>
            </w:r>
            <w:r>
              <w:rPr>
                <w:rFonts w:ascii="Times New Roman" w:cs="Times New Roman"/>
                <w:spacing w:val="6"/>
                <w:sz w:val="21"/>
                <w:szCs w:val="21"/>
              </w:rPr>
              <w:t>各应急处置队队长</w:t>
            </w:r>
            <w:r>
              <w:rPr>
                <w:rFonts w:ascii="Times New Roman" w:hAnsi="Times New Roman" w:cs="Times New Roman"/>
                <w:spacing w:val="6"/>
                <w:sz w:val="21"/>
                <w:szCs w:val="21"/>
              </w:rPr>
              <w:t>→</w:t>
            </w:r>
            <w:r>
              <w:rPr>
                <w:rFonts w:ascii="Times New Roman" w:cs="Times New Roman"/>
                <w:spacing w:val="6"/>
                <w:sz w:val="21"/>
                <w:szCs w:val="21"/>
              </w:rPr>
              <w:t>应急处置队。</w:t>
            </w:r>
          </w:p>
          <w:p>
            <w:pPr>
              <w:pStyle w:val="27"/>
              <w:tabs>
                <w:tab w:val="left" w:pos="1672"/>
              </w:tabs>
              <w:autoSpaceDN w:val="0"/>
              <w:snapToGrid w:val="0"/>
              <w:spacing w:before="0" w:beforeAutospacing="0" w:after="0" w:afterAutospacing="0" w:line="400" w:lineRule="exact"/>
              <w:contextualSpacing/>
              <w:rPr>
                <w:rFonts w:ascii="Times New Roman" w:hAnsi="Times New Roman" w:cs="Times New Roman"/>
                <w:spacing w:val="6"/>
                <w:sz w:val="21"/>
                <w:szCs w:val="21"/>
              </w:rPr>
            </w:pPr>
            <w:r>
              <w:rPr>
                <w:rFonts w:ascii="Times New Roman" w:cs="Times New Roman"/>
                <w:spacing w:val="6"/>
                <w:sz w:val="21"/>
                <w:szCs w:val="21"/>
              </w:rPr>
              <w:t>上报方式：面报、手机或者电话上报。</w:t>
            </w:r>
          </w:p>
          <w:p>
            <w:pPr>
              <w:pStyle w:val="27"/>
              <w:tabs>
                <w:tab w:val="left" w:pos="1672"/>
              </w:tabs>
              <w:autoSpaceDN w:val="0"/>
              <w:snapToGrid w:val="0"/>
              <w:spacing w:before="0" w:beforeAutospacing="0" w:after="0" w:afterAutospacing="0" w:line="320" w:lineRule="exact"/>
              <w:contextualSpacing/>
              <w:rPr>
                <w:rFonts w:ascii="Times New Roman" w:hAnsi="Times New Roman" w:cs="Times New Roman"/>
                <w:sz w:val="21"/>
                <w:szCs w:val="21"/>
              </w:rPr>
            </w:pPr>
            <w:r>
              <w:rPr>
                <w:rFonts w:ascii="Times New Roman" w:hAnsi="Times New Roman" w:cs="Times New Roman"/>
                <w:sz w:val="21"/>
                <w:szCs w:val="21"/>
              </w:rPr>
              <w:t>现场处置组组长：</w:t>
            </w:r>
            <w:r>
              <w:rPr>
                <w:rFonts w:hint="eastAsia"/>
                <w:color w:val="FF0000"/>
                <w:sz w:val="21"/>
                <w:szCs w:val="21"/>
                <w:lang w:eastAsia="zh-CN"/>
              </w:rPr>
              <w:t>熊雄</w:t>
            </w:r>
            <w:r>
              <w:rPr>
                <w:rFonts w:ascii="Times New Roman" w:hAnsi="Times New Roman" w:cs="Times New Roman"/>
                <w:sz w:val="21"/>
                <w:szCs w:val="21"/>
              </w:rPr>
              <w:t>；联系方</w:t>
            </w:r>
            <w:r>
              <w:rPr>
                <w:rFonts w:ascii="Times New Roman" w:hAnsi="Times New Roman" w:cs="Times New Roman"/>
                <w:color w:val="FF0000"/>
                <w:sz w:val="21"/>
                <w:szCs w:val="21"/>
              </w:rPr>
              <w:t>式：</w:t>
            </w:r>
            <w:r>
              <w:rPr>
                <w:rFonts w:hint="eastAsia" w:ascii="Times New Roman" w:hAnsi="Times New Roman" w:cs="Times New Roman"/>
                <w:color w:val="FF0000"/>
                <w:sz w:val="21"/>
                <w:szCs w:val="21"/>
              </w:rPr>
              <w:t>18807099122</w:t>
            </w:r>
            <w:r>
              <w:rPr>
                <w:rFonts w:ascii="Times New Roman" w:hAnsi="Times New Roman" w:cs="Times New Roman"/>
                <w:color w:val="FF0000"/>
                <w:sz w:val="21"/>
                <w:szCs w:val="21"/>
              </w:rPr>
              <w:t>；</w:t>
            </w:r>
          </w:p>
          <w:p>
            <w:pPr>
              <w:pStyle w:val="27"/>
              <w:tabs>
                <w:tab w:val="left" w:pos="1672"/>
              </w:tabs>
              <w:autoSpaceDN w:val="0"/>
              <w:snapToGrid w:val="0"/>
              <w:spacing w:before="0" w:beforeAutospacing="0" w:after="0" w:afterAutospacing="0" w:line="400" w:lineRule="exact"/>
              <w:contextualSpacing/>
              <w:rPr>
                <w:rFonts w:ascii="Times New Roman" w:hAnsi="Times New Roman" w:cs="Times New Roman"/>
                <w:spacing w:val="6"/>
                <w:sz w:val="21"/>
                <w:szCs w:val="21"/>
              </w:rPr>
            </w:pPr>
            <w:r>
              <w:rPr>
                <w:rFonts w:ascii="Times New Roman" w:hAnsi="Times New Roman" w:cs="Times New Roman"/>
                <w:sz w:val="21"/>
                <w:szCs w:val="21"/>
              </w:rPr>
              <w:t>应急指挥领导小组组长：</w:t>
            </w:r>
            <w:r>
              <w:rPr>
                <w:rFonts w:hint="eastAsia"/>
                <w:color w:val="FF0000"/>
                <w:sz w:val="21"/>
                <w:szCs w:val="21"/>
              </w:rPr>
              <w:t>熊海媛</w:t>
            </w:r>
            <w:r>
              <w:rPr>
                <w:rFonts w:ascii="Times New Roman" w:hAnsi="Times New Roman" w:cs="Times New Roman"/>
                <w:sz w:val="21"/>
                <w:szCs w:val="21"/>
              </w:rPr>
              <w:t>；</w:t>
            </w:r>
            <w:r>
              <w:rPr>
                <w:rFonts w:ascii="Times New Roman" w:hAnsi="Times New Roman" w:cs="Times New Roman"/>
                <w:color w:val="FF0000"/>
                <w:sz w:val="21"/>
                <w:szCs w:val="21"/>
              </w:rPr>
              <w:t>联系方式：</w:t>
            </w:r>
            <w:r>
              <w:rPr>
                <w:rFonts w:hint="eastAsia" w:ascii="Times New Roman" w:hAnsi="Times New Roman" w:cs="Times New Roman"/>
                <w:color w:val="FF0000"/>
                <w:sz w:val="21"/>
                <w:szCs w:val="21"/>
              </w:rPr>
              <w:t>18270832518</w:t>
            </w:r>
            <w:r>
              <w:rPr>
                <w:rFonts w:ascii="Times New Roman" w:hAnsi="Times New Roman" w:cs="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40" w:type="dxa"/>
            <w:vAlign w:val="center"/>
          </w:tcPr>
          <w:p>
            <w:pPr>
              <w:pStyle w:val="102"/>
              <w:spacing w:line="400" w:lineRule="exact"/>
              <w:jc w:val="center"/>
              <w:rPr>
                <w:rFonts w:ascii="Times New Roman" w:hAnsi="Times New Roman"/>
                <w:b/>
                <w:color w:val="000000"/>
                <w:sz w:val="21"/>
                <w:szCs w:val="21"/>
              </w:rPr>
            </w:pPr>
            <w:r>
              <w:rPr>
                <w:rFonts w:ascii="Times New Roman" w:hAnsi="宋体"/>
                <w:b/>
                <w:color w:val="000000"/>
                <w:sz w:val="21"/>
                <w:szCs w:val="21"/>
              </w:rPr>
              <w:t>应急</w:t>
            </w:r>
          </w:p>
          <w:p>
            <w:pPr>
              <w:pStyle w:val="102"/>
              <w:spacing w:line="400" w:lineRule="exact"/>
              <w:jc w:val="center"/>
              <w:rPr>
                <w:rFonts w:ascii="Times New Roman" w:hAnsi="Times New Roman"/>
                <w:b/>
                <w:color w:val="000000"/>
                <w:sz w:val="21"/>
                <w:szCs w:val="21"/>
              </w:rPr>
            </w:pPr>
            <w:r>
              <w:rPr>
                <w:rFonts w:ascii="Times New Roman" w:hAnsi="宋体"/>
                <w:b/>
                <w:color w:val="000000"/>
                <w:sz w:val="21"/>
                <w:szCs w:val="21"/>
              </w:rPr>
              <w:t>处置</w:t>
            </w:r>
          </w:p>
        </w:tc>
        <w:tc>
          <w:tcPr>
            <w:tcW w:w="7185" w:type="dxa"/>
            <w:gridSpan w:val="2"/>
            <w:vAlign w:val="center"/>
          </w:tcPr>
          <w:p>
            <w:pPr>
              <w:spacing w:line="400" w:lineRule="exact"/>
              <w:ind w:firstLine="420" w:firstLineChars="200"/>
              <w:rPr>
                <w:rFonts w:ascii="宋体" w:hAnsi="宋体"/>
                <w:szCs w:val="21"/>
              </w:rPr>
            </w:pPr>
            <w:r>
              <w:rPr>
                <w:rFonts w:hint="eastAsia" w:ascii="宋体" w:hAnsi="宋体"/>
                <w:szCs w:val="21"/>
              </w:rPr>
              <w:t>①第一发现人</w:t>
            </w:r>
            <w:r>
              <w:rPr>
                <w:rFonts w:ascii="宋体" w:hAnsi="宋体"/>
                <w:szCs w:val="21"/>
              </w:rPr>
              <w:t>应</w:t>
            </w:r>
            <w:r>
              <w:rPr>
                <w:rFonts w:hint="eastAsia" w:ascii="宋体" w:hAnsi="宋体"/>
                <w:szCs w:val="21"/>
              </w:rPr>
              <w:t>第一时间</w:t>
            </w:r>
            <w:r>
              <w:rPr>
                <w:rFonts w:ascii="宋体" w:hAnsi="宋体"/>
                <w:szCs w:val="21"/>
              </w:rPr>
              <w:t>向</w:t>
            </w:r>
            <w:r>
              <w:rPr>
                <w:rFonts w:hint="eastAsia" w:ascii="宋体" w:hAnsi="宋体"/>
                <w:szCs w:val="21"/>
              </w:rPr>
              <w:t>站长和应急指挥领导小组</w:t>
            </w:r>
            <w:r>
              <w:rPr>
                <w:rFonts w:ascii="宋体" w:hAnsi="宋体"/>
                <w:szCs w:val="21"/>
              </w:rPr>
              <w:t>报警</w:t>
            </w:r>
            <w:r>
              <w:rPr>
                <w:rFonts w:hint="eastAsia" w:ascii="宋体" w:hAnsi="宋体"/>
                <w:szCs w:val="21"/>
              </w:rPr>
              <w:t>，应急指挥领导小组及时上报区人民政府和区环境保护局</w:t>
            </w:r>
            <w:r>
              <w:rPr>
                <w:rFonts w:ascii="宋体" w:hAnsi="宋体"/>
                <w:szCs w:val="21"/>
              </w:rPr>
              <w:t>。</w:t>
            </w:r>
          </w:p>
          <w:p>
            <w:pPr>
              <w:spacing w:line="400" w:lineRule="exact"/>
              <w:ind w:firstLine="420" w:firstLineChars="200"/>
              <w:rPr>
                <w:rFonts w:ascii="宋体" w:hAnsi="宋体"/>
                <w:szCs w:val="21"/>
              </w:rPr>
            </w:pPr>
            <w:r>
              <w:rPr>
                <w:rFonts w:hint="eastAsia" w:ascii="宋体" w:hAnsi="宋体"/>
                <w:szCs w:val="21"/>
              </w:rPr>
              <w:t>②应急指挥领导小组组织研究院、技术部门研究人员组成调查组，调查事故原因。</w:t>
            </w:r>
          </w:p>
          <w:p>
            <w:pPr>
              <w:spacing w:line="400" w:lineRule="exact"/>
              <w:ind w:firstLine="420"/>
              <w:rPr>
                <w:rFonts w:ascii="宋体" w:hAnsi="宋体"/>
                <w:color w:val="FF0000"/>
                <w:szCs w:val="21"/>
              </w:rPr>
            </w:pPr>
            <w:r>
              <w:rPr>
                <w:rFonts w:hint="eastAsia" w:ascii="宋体" w:hAnsi="宋体"/>
                <w:color w:val="FF0000"/>
                <w:szCs w:val="21"/>
              </w:rPr>
              <w:t>③由于公司没有废气监测能力，发现废气未经处理直接排放时，及时请求</w:t>
            </w:r>
            <w:r>
              <w:rPr>
                <w:rFonts w:hint="eastAsia"/>
                <w:color w:val="FF0000"/>
              </w:rPr>
              <w:t>南昌市环境监测站</w:t>
            </w:r>
            <w:r>
              <w:rPr>
                <w:rFonts w:hint="eastAsia" w:ascii="宋体" w:hAnsi="宋体"/>
                <w:color w:val="FF0000"/>
                <w:szCs w:val="21"/>
              </w:rPr>
              <w:t>协助监测。</w:t>
            </w:r>
          </w:p>
          <w:p>
            <w:pPr>
              <w:spacing w:line="400" w:lineRule="exact"/>
              <w:ind w:firstLine="420" w:firstLineChars="200"/>
              <w:rPr>
                <w:rFonts w:ascii="宋体" w:hAnsi="宋体"/>
                <w:szCs w:val="21"/>
              </w:rPr>
            </w:pPr>
            <w:r>
              <w:rPr>
                <w:rFonts w:hint="eastAsia" w:ascii="宋体" w:hAnsi="宋体"/>
                <w:szCs w:val="21"/>
              </w:rPr>
              <w:t>并采取如下废气处理措施：</w:t>
            </w:r>
          </w:p>
          <w:p>
            <w:pPr>
              <w:spacing w:line="400" w:lineRule="exact"/>
              <w:ind w:firstLine="420" w:firstLineChars="200"/>
              <w:rPr>
                <w:rFonts w:ascii="宋体" w:hAnsi="宋体"/>
                <w:szCs w:val="21"/>
              </w:rPr>
            </w:pPr>
            <w:r>
              <w:rPr>
                <w:rFonts w:hint="eastAsia" w:ascii="宋体" w:hAnsi="宋体"/>
                <w:szCs w:val="21"/>
              </w:rPr>
              <w:t>现场处置组队员根据超标项目的不同，溯源到废气治理设施，并对其进行修理。</w:t>
            </w:r>
          </w:p>
        </w:tc>
      </w:tr>
    </w:tbl>
    <w:p>
      <w:pPr>
        <w:spacing w:line="500" w:lineRule="exact"/>
        <w:jc w:val="center"/>
        <w:rPr>
          <w:b/>
          <w:color w:val="000000"/>
        </w:rPr>
      </w:pPr>
    </w:p>
    <w:p>
      <w:pPr>
        <w:spacing w:line="500" w:lineRule="exact"/>
        <w:jc w:val="center"/>
        <w:rPr>
          <w:b/>
          <w:color w:val="000000"/>
        </w:rPr>
      </w:pPr>
    </w:p>
    <w:p>
      <w:pPr>
        <w:spacing w:line="500" w:lineRule="exact"/>
        <w:jc w:val="center"/>
        <w:rPr>
          <w:b/>
          <w:color w:val="000000"/>
        </w:rPr>
      </w:pPr>
    </w:p>
    <w:p>
      <w:pPr>
        <w:spacing w:line="500" w:lineRule="exact"/>
        <w:jc w:val="center"/>
        <w:rPr>
          <w:b/>
          <w:color w:val="000000"/>
        </w:rPr>
      </w:pPr>
    </w:p>
    <w:p>
      <w:pPr>
        <w:spacing w:line="500" w:lineRule="exact"/>
        <w:jc w:val="center"/>
        <w:rPr>
          <w:b/>
          <w:color w:val="000000"/>
        </w:rPr>
      </w:pPr>
    </w:p>
    <w:p>
      <w:pPr>
        <w:spacing w:line="500" w:lineRule="exact"/>
        <w:jc w:val="center"/>
        <w:rPr>
          <w:b/>
          <w:color w:val="000000"/>
        </w:rPr>
      </w:pPr>
    </w:p>
    <w:p>
      <w:pPr>
        <w:spacing w:line="500" w:lineRule="exact"/>
        <w:jc w:val="center"/>
        <w:rPr>
          <w:b/>
          <w:color w:val="000000"/>
        </w:rPr>
      </w:pPr>
    </w:p>
    <w:p>
      <w:pPr>
        <w:spacing w:line="500" w:lineRule="exact"/>
        <w:jc w:val="center"/>
        <w:rPr>
          <w:b/>
          <w:color w:val="000000"/>
        </w:rPr>
      </w:pPr>
    </w:p>
    <w:p>
      <w:pPr>
        <w:spacing w:line="500" w:lineRule="exact"/>
        <w:jc w:val="center"/>
        <w:rPr>
          <w:b/>
          <w:color w:val="000000"/>
        </w:rPr>
      </w:pPr>
    </w:p>
    <w:p>
      <w:pPr>
        <w:spacing w:line="500" w:lineRule="exact"/>
        <w:jc w:val="center"/>
        <w:rPr>
          <w:b/>
          <w:color w:val="000000"/>
        </w:rPr>
      </w:pPr>
    </w:p>
    <w:p>
      <w:pPr>
        <w:rPr>
          <w:rFonts w:hAnsi="宋体"/>
          <w:sz w:val="24"/>
          <w:szCs w:val="28"/>
        </w:rPr>
        <w:sectPr>
          <w:headerReference r:id="rId12" w:type="default"/>
          <w:pgSz w:w="11906" w:h="16838"/>
          <w:pgMar w:top="1440" w:right="1800" w:bottom="1440" w:left="1800" w:header="851" w:footer="992" w:gutter="0"/>
          <w:cols w:space="425" w:num="1"/>
          <w:docGrid w:type="lines" w:linePitch="312" w:charSpace="0"/>
        </w:sectPr>
      </w:pPr>
    </w:p>
    <w:p>
      <w:pPr>
        <w:spacing w:before="156" w:beforeLines="50" w:after="156" w:afterLines="50"/>
        <w:jc w:val="left"/>
        <w:outlineLvl w:val="1"/>
        <w:rPr>
          <w:b/>
          <w:sz w:val="24"/>
        </w:rPr>
      </w:pPr>
      <w:bookmarkStart w:id="577" w:name="_Toc10105754"/>
      <w:bookmarkStart w:id="578" w:name="_Toc509302782"/>
      <w:bookmarkStart w:id="579" w:name="_Toc500487631"/>
      <w:r>
        <w:rPr>
          <w:rFonts w:hAnsi="宋体"/>
          <w:b/>
          <w:sz w:val="24"/>
        </w:rPr>
        <w:t>附件</w:t>
      </w:r>
      <w:r>
        <w:rPr>
          <w:b/>
          <w:sz w:val="24"/>
        </w:rPr>
        <w:t>4</w:t>
      </w:r>
      <w:r>
        <w:rPr>
          <w:rFonts w:hAnsi="宋体"/>
          <w:b/>
          <w:sz w:val="24"/>
        </w:rPr>
        <w:t>突发环境事件信息报告表</w:t>
      </w:r>
      <w:bookmarkEnd w:id="577"/>
    </w:p>
    <w:tbl>
      <w:tblPr>
        <w:tblStyle w:val="3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1417"/>
        <w:gridCol w:w="1276"/>
        <w:gridCol w:w="1276"/>
        <w:gridCol w:w="1276"/>
        <w:gridCol w:w="1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93" w:type="dxa"/>
            <w:vAlign w:val="center"/>
          </w:tcPr>
          <w:p>
            <w:pPr>
              <w:spacing w:line="320" w:lineRule="exact"/>
              <w:rPr>
                <w:szCs w:val="21"/>
              </w:rPr>
            </w:pPr>
            <w:r>
              <w:rPr>
                <w:rFonts w:hAnsi="宋体"/>
                <w:szCs w:val="21"/>
              </w:rPr>
              <w:t>污染等级</w:t>
            </w:r>
          </w:p>
        </w:tc>
        <w:tc>
          <w:tcPr>
            <w:tcW w:w="1417" w:type="dxa"/>
            <w:vAlign w:val="center"/>
          </w:tcPr>
          <w:p>
            <w:pPr>
              <w:spacing w:line="320" w:lineRule="exact"/>
              <w:rPr>
                <w:szCs w:val="21"/>
              </w:rPr>
            </w:pPr>
          </w:p>
        </w:tc>
        <w:tc>
          <w:tcPr>
            <w:tcW w:w="1276" w:type="dxa"/>
            <w:vAlign w:val="center"/>
          </w:tcPr>
          <w:p>
            <w:pPr>
              <w:spacing w:line="320" w:lineRule="exact"/>
              <w:rPr>
                <w:szCs w:val="21"/>
              </w:rPr>
            </w:pPr>
            <w:r>
              <w:rPr>
                <w:rFonts w:hAnsi="宋体"/>
                <w:szCs w:val="21"/>
              </w:rPr>
              <w:t>发生时间</w:t>
            </w:r>
          </w:p>
        </w:tc>
        <w:tc>
          <w:tcPr>
            <w:tcW w:w="1276" w:type="dxa"/>
            <w:vAlign w:val="center"/>
          </w:tcPr>
          <w:p>
            <w:pPr>
              <w:spacing w:line="320" w:lineRule="exact"/>
              <w:rPr>
                <w:szCs w:val="21"/>
              </w:rPr>
            </w:pPr>
          </w:p>
        </w:tc>
        <w:tc>
          <w:tcPr>
            <w:tcW w:w="1276" w:type="dxa"/>
            <w:vAlign w:val="center"/>
          </w:tcPr>
          <w:p>
            <w:pPr>
              <w:spacing w:line="320" w:lineRule="exact"/>
              <w:rPr>
                <w:szCs w:val="21"/>
              </w:rPr>
            </w:pPr>
            <w:r>
              <w:rPr>
                <w:rFonts w:hAnsi="宋体"/>
                <w:szCs w:val="21"/>
              </w:rPr>
              <w:t>发生地点</w:t>
            </w:r>
          </w:p>
        </w:tc>
        <w:tc>
          <w:tcPr>
            <w:tcW w:w="1184" w:type="dxa"/>
            <w:vAlign w:val="center"/>
          </w:tcPr>
          <w:p>
            <w:pPr>
              <w:spacing w:line="32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93" w:type="dxa"/>
            <w:vAlign w:val="center"/>
          </w:tcPr>
          <w:p>
            <w:pPr>
              <w:spacing w:line="320" w:lineRule="exact"/>
              <w:rPr>
                <w:szCs w:val="21"/>
              </w:rPr>
            </w:pPr>
            <w:r>
              <w:rPr>
                <w:rFonts w:hAnsi="宋体"/>
                <w:szCs w:val="21"/>
              </w:rPr>
              <w:t>应急指挥部联系人</w:t>
            </w:r>
          </w:p>
        </w:tc>
        <w:tc>
          <w:tcPr>
            <w:tcW w:w="2693" w:type="dxa"/>
            <w:gridSpan w:val="2"/>
            <w:vAlign w:val="center"/>
          </w:tcPr>
          <w:p>
            <w:pPr>
              <w:spacing w:line="320" w:lineRule="exact"/>
              <w:rPr>
                <w:szCs w:val="21"/>
              </w:rPr>
            </w:pPr>
          </w:p>
        </w:tc>
        <w:tc>
          <w:tcPr>
            <w:tcW w:w="1276" w:type="dxa"/>
            <w:vAlign w:val="center"/>
          </w:tcPr>
          <w:p>
            <w:pPr>
              <w:spacing w:line="320" w:lineRule="exact"/>
              <w:rPr>
                <w:szCs w:val="21"/>
              </w:rPr>
            </w:pPr>
            <w:r>
              <w:rPr>
                <w:rFonts w:hAnsi="宋体"/>
                <w:szCs w:val="21"/>
              </w:rPr>
              <w:t>联系方式</w:t>
            </w:r>
          </w:p>
        </w:tc>
        <w:tc>
          <w:tcPr>
            <w:tcW w:w="2460" w:type="dxa"/>
            <w:gridSpan w:val="2"/>
            <w:vAlign w:val="center"/>
          </w:tcPr>
          <w:p>
            <w:pPr>
              <w:spacing w:line="32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93" w:type="dxa"/>
            <w:vAlign w:val="center"/>
          </w:tcPr>
          <w:p>
            <w:pPr>
              <w:spacing w:line="320" w:lineRule="exact"/>
              <w:rPr>
                <w:szCs w:val="21"/>
              </w:rPr>
            </w:pPr>
            <w:r>
              <w:rPr>
                <w:rFonts w:hAnsi="宋体"/>
                <w:szCs w:val="21"/>
              </w:rPr>
              <w:t>过程描述</w:t>
            </w:r>
          </w:p>
        </w:tc>
        <w:tc>
          <w:tcPr>
            <w:tcW w:w="6429" w:type="dxa"/>
            <w:gridSpan w:val="5"/>
            <w:vAlign w:val="center"/>
          </w:tcPr>
          <w:p>
            <w:pPr>
              <w:spacing w:line="320" w:lineRule="exact"/>
              <w:rPr>
                <w:szCs w:val="21"/>
              </w:rPr>
            </w:pPr>
          </w:p>
          <w:p>
            <w:pPr>
              <w:spacing w:line="32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93" w:type="dxa"/>
            <w:vAlign w:val="center"/>
          </w:tcPr>
          <w:p>
            <w:pPr>
              <w:spacing w:line="320" w:lineRule="exact"/>
              <w:rPr>
                <w:szCs w:val="21"/>
              </w:rPr>
            </w:pPr>
            <w:r>
              <w:rPr>
                <w:rFonts w:hAnsi="宋体"/>
                <w:szCs w:val="21"/>
              </w:rPr>
              <w:t>首要污染物</w:t>
            </w:r>
          </w:p>
        </w:tc>
        <w:tc>
          <w:tcPr>
            <w:tcW w:w="6429" w:type="dxa"/>
            <w:gridSpan w:val="5"/>
            <w:vAlign w:val="center"/>
          </w:tcPr>
          <w:p>
            <w:pPr>
              <w:spacing w:line="320" w:lineRule="exact"/>
              <w:rPr>
                <w:szCs w:val="21"/>
              </w:rPr>
            </w:pPr>
          </w:p>
          <w:p>
            <w:pPr>
              <w:spacing w:line="32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93" w:type="dxa"/>
            <w:vAlign w:val="center"/>
          </w:tcPr>
          <w:p>
            <w:pPr>
              <w:spacing w:line="320" w:lineRule="exact"/>
              <w:rPr>
                <w:szCs w:val="21"/>
              </w:rPr>
            </w:pPr>
            <w:r>
              <w:rPr>
                <w:rFonts w:hAnsi="宋体"/>
                <w:szCs w:val="21"/>
              </w:rPr>
              <w:t>目前大气、水等污染情况</w:t>
            </w:r>
          </w:p>
        </w:tc>
        <w:tc>
          <w:tcPr>
            <w:tcW w:w="6429" w:type="dxa"/>
            <w:gridSpan w:val="5"/>
            <w:vAlign w:val="center"/>
          </w:tcPr>
          <w:p>
            <w:pPr>
              <w:spacing w:line="32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93" w:type="dxa"/>
            <w:vAlign w:val="center"/>
          </w:tcPr>
          <w:p>
            <w:pPr>
              <w:spacing w:line="320" w:lineRule="exact"/>
              <w:rPr>
                <w:szCs w:val="21"/>
              </w:rPr>
            </w:pPr>
            <w:r>
              <w:rPr>
                <w:rFonts w:hAnsi="宋体"/>
                <w:szCs w:val="21"/>
              </w:rPr>
              <w:t>气象及主要自然天气情况</w:t>
            </w:r>
          </w:p>
        </w:tc>
        <w:tc>
          <w:tcPr>
            <w:tcW w:w="6429" w:type="dxa"/>
            <w:gridSpan w:val="5"/>
            <w:vAlign w:val="center"/>
          </w:tcPr>
          <w:p>
            <w:pPr>
              <w:spacing w:line="32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93" w:type="dxa"/>
            <w:vAlign w:val="center"/>
          </w:tcPr>
          <w:p>
            <w:pPr>
              <w:spacing w:line="320" w:lineRule="exact"/>
              <w:rPr>
                <w:szCs w:val="21"/>
              </w:rPr>
            </w:pPr>
            <w:r>
              <w:rPr>
                <w:rFonts w:hAnsi="宋体"/>
                <w:szCs w:val="21"/>
              </w:rPr>
              <w:t>原因分析</w:t>
            </w:r>
          </w:p>
        </w:tc>
        <w:tc>
          <w:tcPr>
            <w:tcW w:w="6429" w:type="dxa"/>
            <w:gridSpan w:val="5"/>
            <w:vAlign w:val="center"/>
          </w:tcPr>
          <w:p>
            <w:pPr>
              <w:spacing w:line="320" w:lineRule="exact"/>
              <w:rPr>
                <w:szCs w:val="21"/>
              </w:rPr>
            </w:pPr>
          </w:p>
          <w:p>
            <w:pPr>
              <w:spacing w:line="32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2093" w:type="dxa"/>
            <w:vAlign w:val="center"/>
          </w:tcPr>
          <w:p>
            <w:pPr>
              <w:spacing w:line="320" w:lineRule="exact"/>
              <w:rPr>
                <w:szCs w:val="21"/>
              </w:rPr>
            </w:pPr>
            <w:r>
              <w:rPr>
                <w:rFonts w:hAnsi="宋体"/>
                <w:szCs w:val="21"/>
              </w:rPr>
              <w:t>已经实施或正在采取的控制措施</w:t>
            </w:r>
          </w:p>
        </w:tc>
        <w:tc>
          <w:tcPr>
            <w:tcW w:w="6429" w:type="dxa"/>
            <w:gridSpan w:val="5"/>
            <w:vAlign w:val="center"/>
          </w:tcPr>
          <w:p>
            <w:pPr>
              <w:spacing w:line="32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93" w:type="dxa"/>
            <w:vAlign w:val="center"/>
          </w:tcPr>
          <w:p>
            <w:pPr>
              <w:spacing w:line="320" w:lineRule="exact"/>
              <w:rPr>
                <w:szCs w:val="21"/>
              </w:rPr>
            </w:pPr>
            <w:r>
              <w:rPr>
                <w:rFonts w:hAnsi="宋体"/>
                <w:szCs w:val="21"/>
              </w:rPr>
              <w:t>事件潜在后果以及可能对周边造成的影响</w:t>
            </w:r>
          </w:p>
        </w:tc>
        <w:tc>
          <w:tcPr>
            <w:tcW w:w="6429" w:type="dxa"/>
            <w:gridSpan w:val="5"/>
            <w:vAlign w:val="center"/>
          </w:tcPr>
          <w:p>
            <w:pPr>
              <w:spacing w:line="32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93" w:type="dxa"/>
            <w:vAlign w:val="center"/>
          </w:tcPr>
          <w:p>
            <w:pPr>
              <w:spacing w:line="320" w:lineRule="exact"/>
              <w:rPr>
                <w:szCs w:val="21"/>
              </w:rPr>
            </w:pPr>
            <w:r>
              <w:rPr>
                <w:rFonts w:hAnsi="宋体"/>
                <w:szCs w:val="21"/>
              </w:rPr>
              <w:t>处理结果</w:t>
            </w:r>
          </w:p>
        </w:tc>
        <w:tc>
          <w:tcPr>
            <w:tcW w:w="6429" w:type="dxa"/>
            <w:gridSpan w:val="5"/>
            <w:vAlign w:val="center"/>
          </w:tcPr>
          <w:p>
            <w:pPr>
              <w:spacing w:line="32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93" w:type="dxa"/>
            <w:vAlign w:val="center"/>
          </w:tcPr>
          <w:p>
            <w:pPr>
              <w:spacing w:line="320" w:lineRule="exact"/>
              <w:rPr>
                <w:szCs w:val="21"/>
              </w:rPr>
            </w:pPr>
            <w:r>
              <w:rPr>
                <w:rFonts w:hAnsi="宋体"/>
                <w:szCs w:val="21"/>
              </w:rPr>
              <w:t>防治对策</w:t>
            </w:r>
          </w:p>
        </w:tc>
        <w:tc>
          <w:tcPr>
            <w:tcW w:w="6429" w:type="dxa"/>
            <w:gridSpan w:val="5"/>
            <w:vAlign w:val="center"/>
          </w:tcPr>
          <w:p>
            <w:pPr>
              <w:spacing w:line="320" w:lineRule="exact"/>
              <w:rPr>
                <w:szCs w:val="21"/>
              </w:rPr>
            </w:pPr>
          </w:p>
          <w:p>
            <w:pPr>
              <w:spacing w:line="320" w:lineRule="exact"/>
              <w:rPr>
                <w:szCs w:val="21"/>
              </w:rPr>
            </w:pPr>
          </w:p>
          <w:p>
            <w:pPr>
              <w:spacing w:line="320" w:lineRule="exact"/>
              <w:rPr>
                <w:szCs w:val="21"/>
              </w:rPr>
            </w:pPr>
          </w:p>
          <w:p>
            <w:pPr>
              <w:spacing w:line="320" w:lineRule="exact"/>
              <w:rPr>
                <w:szCs w:val="21"/>
              </w:rPr>
            </w:pPr>
          </w:p>
          <w:p>
            <w:pPr>
              <w:spacing w:line="320" w:lineRule="exact"/>
              <w:rPr>
                <w:szCs w:val="21"/>
              </w:rPr>
            </w:pPr>
          </w:p>
          <w:p>
            <w:pPr>
              <w:spacing w:line="32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93" w:type="dxa"/>
            <w:vMerge w:val="restart"/>
            <w:vAlign w:val="center"/>
          </w:tcPr>
          <w:p>
            <w:pPr>
              <w:spacing w:line="320" w:lineRule="exact"/>
              <w:rPr>
                <w:szCs w:val="21"/>
              </w:rPr>
            </w:pPr>
            <w:r>
              <w:rPr>
                <w:rFonts w:hAnsi="宋体"/>
                <w:szCs w:val="21"/>
              </w:rPr>
              <w:t>签报批示</w:t>
            </w:r>
          </w:p>
        </w:tc>
        <w:tc>
          <w:tcPr>
            <w:tcW w:w="1417" w:type="dxa"/>
            <w:vAlign w:val="center"/>
          </w:tcPr>
          <w:p>
            <w:pPr>
              <w:spacing w:line="320" w:lineRule="exact"/>
              <w:rPr>
                <w:szCs w:val="21"/>
              </w:rPr>
            </w:pPr>
            <w:r>
              <w:rPr>
                <w:rFonts w:hAnsi="宋体"/>
                <w:szCs w:val="21"/>
              </w:rPr>
              <w:t>应急指挥部</w:t>
            </w:r>
          </w:p>
        </w:tc>
        <w:tc>
          <w:tcPr>
            <w:tcW w:w="1276" w:type="dxa"/>
            <w:vAlign w:val="center"/>
          </w:tcPr>
          <w:p>
            <w:pPr>
              <w:spacing w:line="320" w:lineRule="exact"/>
              <w:rPr>
                <w:szCs w:val="21"/>
              </w:rPr>
            </w:pPr>
          </w:p>
        </w:tc>
        <w:tc>
          <w:tcPr>
            <w:tcW w:w="1276" w:type="dxa"/>
            <w:vAlign w:val="center"/>
          </w:tcPr>
          <w:p>
            <w:pPr>
              <w:spacing w:line="320" w:lineRule="exact"/>
              <w:rPr>
                <w:szCs w:val="21"/>
              </w:rPr>
            </w:pPr>
          </w:p>
        </w:tc>
        <w:tc>
          <w:tcPr>
            <w:tcW w:w="1276" w:type="dxa"/>
            <w:vAlign w:val="center"/>
          </w:tcPr>
          <w:p>
            <w:pPr>
              <w:spacing w:line="320" w:lineRule="exact"/>
              <w:rPr>
                <w:szCs w:val="21"/>
              </w:rPr>
            </w:pPr>
          </w:p>
        </w:tc>
        <w:tc>
          <w:tcPr>
            <w:tcW w:w="1184" w:type="dxa"/>
            <w:vAlign w:val="center"/>
          </w:tcPr>
          <w:p>
            <w:pPr>
              <w:spacing w:line="32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93" w:type="dxa"/>
            <w:vMerge w:val="continue"/>
            <w:vAlign w:val="center"/>
          </w:tcPr>
          <w:p>
            <w:pPr>
              <w:spacing w:line="320" w:lineRule="exact"/>
              <w:rPr>
                <w:szCs w:val="21"/>
              </w:rPr>
            </w:pPr>
          </w:p>
        </w:tc>
        <w:tc>
          <w:tcPr>
            <w:tcW w:w="1417" w:type="dxa"/>
            <w:vAlign w:val="center"/>
          </w:tcPr>
          <w:p>
            <w:pPr>
              <w:spacing w:line="320" w:lineRule="exact"/>
              <w:rPr>
                <w:szCs w:val="21"/>
              </w:rPr>
            </w:pPr>
            <w:r>
              <w:rPr>
                <w:rFonts w:hAnsi="宋体"/>
                <w:szCs w:val="21"/>
              </w:rPr>
              <w:t>填表人</w:t>
            </w:r>
          </w:p>
        </w:tc>
        <w:tc>
          <w:tcPr>
            <w:tcW w:w="1276" w:type="dxa"/>
            <w:vAlign w:val="center"/>
          </w:tcPr>
          <w:p>
            <w:pPr>
              <w:spacing w:line="320" w:lineRule="exact"/>
              <w:rPr>
                <w:szCs w:val="21"/>
              </w:rPr>
            </w:pPr>
          </w:p>
        </w:tc>
        <w:tc>
          <w:tcPr>
            <w:tcW w:w="1276" w:type="dxa"/>
            <w:vAlign w:val="center"/>
          </w:tcPr>
          <w:p>
            <w:pPr>
              <w:spacing w:line="320" w:lineRule="exact"/>
              <w:rPr>
                <w:szCs w:val="21"/>
              </w:rPr>
            </w:pPr>
          </w:p>
        </w:tc>
        <w:tc>
          <w:tcPr>
            <w:tcW w:w="1276" w:type="dxa"/>
            <w:vAlign w:val="center"/>
          </w:tcPr>
          <w:p>
            <w:pPr>
              <w:spacing w:line="320" w:lineRule="exact"/>
              <w:rPr>
                <w:szCs w:val="21"/>
              </w:rPr>
            </w:pPr>
          </w:p>
        </w:tc>
        <w:tc>
          <w:tcPr>
            <w:tcW w:w="1184" w:type="dxa"/>
            <w:vAlign w:val="center"/>
          </w:tcPr>
          <w:p>
            <w:pPr>
              <w:spacing w:line="32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93" w:type="dxa"/>
            <w:vAlign w:val="center"/>
          </w:tcPr>
          <w:p>
            <w:pPr>
              <w:spacing w:line="320" w:lineRule="exact"/>
              <w:rPr>
                <w:szCs w:val="21"/>
              </w:rPr>
            </w:pPr>
            <w:r>
              <w:rPr>
                <w:rFonts w:hAnsi="宋体"/>
                <w:szCs w:val="21"/>
              </w:rPr>
              <w:t>接收信息部门</w:t>
            </w:r>
          </w:p>
        </w:tc>
        <w:tc>
          <w:tcPr>
            <w:tcW w:w="6429" w:type="dxa"/>
            <w:gridSpan w:val="5"/>
            <w:vAlign w:val="center"/>
          </w:tcPr>
          <w:p>
            <w:pPr>
              <w:spacing w:line="32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93" w:type="dxa"/>
            <w:vAlign w:val="center"/>
          </w:tcPr>
          <w:p>
            <w:pPr>
              <w:spacing w:line="320" w:lineRule="exact"/>
              <w:rPr>
                <w:szCs w:val="21"/>
              </w:rPr>
            </w:pPr>
            <w:r>
              <w:rPr>
                <w:rFonts w:hAnsi="宋体"/>
                <w:szCs w:val="21"/>
              </w:rPr>
              <w:t>报告时间</w:t>
            </w:r>
          </w:p>
        </w:tc>
        <w:tc>
          <w:tcPr>
            <w:tcW w:w="6429" w:type="dxa"/>
            <w:gridSpan w:val="5"/>
            <w:vAlign w:val="center"/>
          </w:tcPr>
          <w:p>
            <w:pPr>
              <w:spacing w:line="32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93" w:type="dxa"/>
            <w:vAlign w:val="center"/>
          </w:tcPr>
          <w:p>
            <w:pPr>
              <w:spacing w:line="320" w:lineRule="exact"/>
              <w:rPr>
                <w:szCs w:val="21"/>
              </w:rPr>
            </w:pPr>
            <w:r>
              <w:rPr>
                <w:rFonts w:hAnsi="宋体"/>
                <w:szCs w:val="21"/>
              </w:rPr>
              <w:t>要求下次报告时间</w:t>
            </w:r>
          </w:p>
        </w:tc>
        <w:tc>
          <w:tcPr>
            <w:tcW w:w="6429" w:type="dxa"/>
            <w:gridSpan w:val="5"/>
            <w:vAlign w:val="center"/>
          </w:tcPr>
          <w:p>
            <w:pPr>
              <w:spacing w:line="32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93" w:type="dxa"/>
            <w:vAlign w:val="center"/>
          </w:tcPr>
          <w:p>
            <w:pPr>
              <w:spacing w:line="320" w:lineRule="exact"/>
              <w:rPr>
                <w:szCs w:val="21"/>
              </w:rPr>
            </w:pPr>
            <w:r>
              <w:rPr>
                <w:rFonts w:hAnsi="宋体"/>
                <w:szCs w:val="21"/>
              </w:rPr>
              <w:t>备注</w:t>
            </w:r>
          </w:p>
        </w:tc>
        <w:tc>
          <w:tcPr>
            <w:tcW w:w="6429" w:type="dxa"/>
            <w:gridSpan w:val="5"/>
            <w:vAlign w:val="center"/>
          </w:tcPr>
          <w:p>
            <w:pPr>
              <w:spacing w:line="320" w:lineRule="exact"/>
              <w:rPr>
                <w:szCs w:val="21"/>
              </w:rPr>
            </w:pPr>
          </w:p>
        </w:tc>
      </w:tr>
    </w:tbl>
    <w:p/>
    <w:p>
      <w:pPr>
        <w:spacing w:before="156" w:beforeLines="50" w:after="156" w:afterLines="50"/>
        <w:outlineLvl w:val="1"/>
        <w:rPr>
          <w:b/>
          <w:sz w:val="24"/>
        </w:rPr>
      </w:pPr>
    </w:p>
    <w:p>
      <w:pPr>
        <w:spacing w:before="156" w:beforeLines="50" w:after="156" w:afterLines="50"/>
        <w:outlineLvl w:val="1"/>
        <w:rPr>
          <w:b/>
          <w:sz w:val="24"/>
        </w:rPr>
      </w:pPr>
    </w:p>
    <w:p>
      <w:pPr>
        <w:spacing w:before="156" w:beforeLines="50" w:after="156" w:afterLines="50"/>
        <w:outlineLvl w:val="1"/>
        <w:rPr>
          <w:b/>
          <w:sz w:val="24"/>
        </w:rPr>
      </w:pPr>
    </w:p>
    <w:p>
      <w:pPr>
        <w:spacing w:before="156" w:beforeLines="50" w:after="156" w:afterLines="50"/>
        <w:outlineLvl w:val="1"/>
        <w:rPr>
          <w:b/>
          <w:sz w:val="24"/>
        </w:rPr>
      </w:pPr>
    </w:p>
    <w:p>
      <w:pPr>
        <w:spacing w:before="156" w:beforeLines="50" w:after="156" w:afterLines="50"/>
        <w:outlineLvl w:val="1"/>
        <w:rPr>
          <w:b/>
          <w:sz w:val="24"/>
        </w:rPr>
      </w:pPr>
    </w:p>
    <w:p>
      <w:pPr>
        <w:spacing w:before="156" w:beforeLines="50" w:after="156" w:afterLines="50"/>
        <w:outlineLvl w:val="1"/>
        <w:rPr>
          <w:b/>
          <w:sz w:val="24"/>
        </w:rPr>
      </w:pPr>
    </w:p>
    <w:p>
      <w:pPr>
        <w:autoSpaceDE w:val="0"/>
        <w:autoSpaceDN w:val="0"/>
        <w:spacing w:before="156" w:beforeLines="50" w:after="156" w:afterLines="50"/>
        <w:jc w:val="left"/>
        <w:outlineLvl w:val="1"/>
        <w:rPr>
          <w:b/>
          <w:sz w:val="24"/>
          <w:szCs w:val="30"/>
        </w:rPr>
      </w:pPr>
      <w:bookmarkStart w:id="580" w:name="_Toc10105755"/>
      <w:r>
        <w:rPr>
          <w:rFonts w:hAnsi="宋体"/>
          <w:b/>
          <w:sz w:val="24"/>
          <w:szCs w:val="30"/>
        </w:rPr>
        <w:t>附件</w:t>
      </w:r>
      <w:r>
        <w:rPr>
          <w:b/>
          <w:bCs/>
          <w:sz w:val="24"/>
          <w:szCs w:val="30"/>
        </w:rPr>
        <w:t>5</w:t>
      </w:r>
      <w:r>
        <w:rPr>
          <w:rFonts w:hint="eastAsia"/>
          <w:b/>
          <w:bCs/>
          <w:sz w:val="24"/>
          <w:szCs w:val="30"/>
        </w:rPr>
        <w:t xml:space="preserve"> </w:t>
      </w:r>
      <w:r>
        <w:rPr>
          <w:rFonts w:hAnsi="宋体"/>
          <w:b/>
          <w:sz w:val="24"/>
          <w:szCs w:val="30"/>
        </w:rPr>
        <w:t>突发环境事件应急预案演练记录表</w:t>
      </w:r>
      <w:bookmarkEnd w:id="580"/>
    </w:p>
    <w:tbl>
      <w:tblPr>
        <w:tblStyle w:val="3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9"/>
        <w:gridCol w:w="1420"/>
        <w:gridCol w:w="1420"/>
        <w:gridCol w:w="1421"/>
        <w:gridCol w:w="1421"/>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419" w:type="dxa"/>
            <w:vAlign w:val="center"/>
          </w:tcPr>
          <w:p>
            <w:pPr>
              <w:autoSpaceDE w:val="0"/>
              <w:autoSpaceDN w:val="0"/>
              <w:spacing w:line="400" w:lineRule="exact"/>
              <w:rPr>
                <w:szCs w:val="21"/>
              </w:rPr>
            </w:pPr>
            <w:r>
              <w:rPr>
                <w:rFonts w:hint="eastAsia"/>
                <w:szCs w:val="21"/>
              </w:rPr>
              <w:t>预案名称</w:t>
            </w:r>
          </w:p>
        </w:tc>
        <w:tc>
          <w:tcPr>
            <w:tcW w:w="1420" w:type="dxa"/>
            <w:vAlign w:val="center"/>
          </w:tcPr>
          <w:p>
            <w:pPr>
              <w:autoSpaceDE w:val="0"/>
              <w:autoSpaceDN w:val="0"/>
              <w:spacing w:line="400" w:lineRule="exact"/>
              <w:rPr>
                <w:szCs w:val="21"/>
              </w:rPr>
            </w:pPr>
          </w:p>
        </w:tc>
        <w:tc>
          <w:tcPr>
            <w:tcW w:w="1420" w:type="dxa"/>
            <w:vAlign w:val="center"/>
          </w:tcPr>
          <w:p>
            <w:pPr>
              <w:autoSpaceDE w:val="0"/>
              <w:autoSpaceDN w:val="0"/>
              <w:spacing w:line="400" w:lineRule="exact"/>
              <w:rPr>
                <w:szCs w:val="21"/>
              </w:rPr>
            </w:pPr>
          </w:p>
        </w:tc>
        <w:tc>
          <w:tcPr>
            <w:tcW w:w="1421" w:type="dxa"/>
            <w:vAlign w:val="center"/>
          </w:tcPr>
          <w:p>
            <w:pPr>
              <w:autoSpaceDE w:val="0"/>
              <w:autoSpaceDN w:val="0"/>
              <w:spacing w:line="400" w:lineRule="exact"/>
              <w:rPr>
                <w:szCs w:val="21"/>
              </w:rPr>
            </w:pPr>
            <w:r>
              <w:rPr>
                <w:rFonts w:hint="eastAsia"/>
                <w:szCs w:val="21"/>
              </w:rPr>
              <w:t>演练地点</w:t>
            </w:r>
          </w:p>
        </w:tc>
        <w:tc>
          <w:tcPr>
            <w:tcW w:w="1421" w:type="dxa"/>
            <w:vAlign w:val="center"/>
          </w:tcPr>
          <w:p>
            <w:pPr>
              <w:autoSpaceDE w:val="0"/>
              <w:autoSpaceDN w:val="0"/>
              <w:spacing w:line="400" w:lineRule="exact"/>
              <w:rPr>
                <w:szCs w:val="21"/>
              </w:rPr>
            </w:pPr>
          </w:p>
        </w:tc>
        <w:tc>
          <w:tcPr>
            <w:tcW w:w="1421" w:type="dxa"/>
            <w:vAlign w:val="center"/>
          </w:tcPr>
          <w:p>
            <w:pPr>
              <w:autoSpaceDE w:val="0"/>
              <w:autoSpaceDN w:val="0"/>
              <w:spacing w:line="40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419" w:type="dxa"/>
            <w:vAlign w:val="center"/>
          </w:tcPr>
          <w:p>
            <w:pPr>
              <w:autoSpaceDE w:val="0"/>
              <w:autoSpaceDN w:val="0"/>
              <w:spacing w:line="400" w:lineRule="exact"/>
              <w:rPr>
                <w:szCs w:val="21"/>
              </w:rPr>
            </w:pPr>
            <w:r>
              <w:rPr>
                <w:rFonts w:hint="eastAsia"/>
                <w:szCs w:val="21"/>
              </w:rPr>
              <w:t>组织部门</w:t>
            </w:r>
          </w:p>
        </w:tc>
        <w:tc>
          <w:tcPr>
            <w:tcW w:w="1420" w:type="dxa"/>
            <w:vAlign w:val="center"/>
          </w:tcPr>
          <w:p>
            <w:pPr>
              <w:autoSpaceDE w:val="0"/>
              <w:autoSpaceDN w:val="0"/>
              <w:spacing w:line="400" w:lineRule="exact"/>
              <w:rPr>
                <w:szCs w:val="21"/>
              </w:rPr>
            </w:pPr>
          </w:p>
        </w:tc>
        <w:tc>
          <w:tcPr>
            <w:tcW w:w="1420" w:type="dxa"/>
            <w:vAlign w:val="center"/>
          </w:tcPr>
          <w:p>
            <w:pPr>
              <w:autoSpaceDE w:val="0"/>
              <w:autoSpaceDN w:val="0"/>
              <w:spacing w:line="400" w:lineRule="exact"/>
              <w:rPr>
                <w:szCs w:val="21"/>
              </w:rPr>
            </w:pPr>
            <w:r>
              <w:rPr>
                <w:rFonts w:hint="eastAsia"/>
                <w:szCs w:val="21"/>
              </w:rPr>
              <w:t>总指挥</w:t>
            </w:r>
          </w:p>
        </w:tc>
        <w:tc>
          <w:tcPr>
            <w:tcW w:w="1421" w:type="dxa"/>
            <w:vAlign w:val="center"/>
          </w:tcPr>
          <w:p>
            <w:pPr>
              <w:autoSpaceDE w:val="0"/>
              <w:autoSpaceDN w:val="0"/>
              <w:spacing w:line="400" w:lineRule="exact"/>
              <w:rPr>
                <w:szCs w:val="21"/>
              </w:rPr>
            </w:pPr>
          </w:p>
        </w:tc>
        <w:tc>
          <w:tcPr>
            <w:tcW w:w="1421" w:type="dxa"/>
            <w:vAlign w:val="center"/>
          </w:tcPr>
          <w:p>
            <w:pPr>
              <w:autoSpaceDE w:val="0"/>
              <w:autoSpaceDN w:val="0"/>
              <w:spacing w:line="400" w:lineRule="exact"/>
              <w:rPr>
                <w:szCs w:val="21"/>
              </w:rPr>
            </w:pPr>
            <w:r>
              <w:rPr>
                <w:rFonts w:hint="eastAsia"/>
                <w:szCs w:val="21"/>
              </w:rPr>
              <w:t>演练时间</w:t>
            </w:r>
          </w:p>
        </w:tc>
        <w:tc>
          <w:tcPr>
            <w:tcW w:w="1421" w:type="dxa"/>
            <w:vAlign w:val="center"/>
          </w:tcPr>
          <w:p>
            <w:pPr>
              <w:autoSpaceDE w:val="0"/>
              <w:autoSpaceDN w:val="0"/>
              <w:spacing w:line="40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419" w:type="dxa"/>
            <w:vAlign w:val="center"/>
          </w:tcPr>
          <w:p>
            <w:pPr>
              <w:autoSpaceDE w:val="0"/>
              <w:autoSpaceDN w:val="0"/>
              <w:spacing w:line="400" w:lineRule="exact"/>
              <w:rPr>
                <w:szCs w:val="21"/>
              </w:rPr>
            </w:pPr>
            <w:r>
              <w:rPr>
                <w:rFonts w:hint="eastAsia"/>
                <w:szCs w:val="21"/>
              </w:rPr>
              <w:t>参加部门及人员</w:t>
            </w:r>
          </w:p>
        </w:tc>
        <w:tc>
          <w:tcPr>
            <w:tcW w:w="1420" w:type="dxa"/>
            <w:vAlign w:val="center"/>
          </w:tcPr>
          <w:p>
            <w:pPr>
              <w:autoSpaceDE w:val="0"/>
              <w:autoSpaceDN w:val="0"/>
              <w:spacing w:line="400" w:lineRule="exact"/>
              <w:rPr>
                <w:szCs w:val="21"/>
              </w:rPr>
            </w:pPr>
            <w:r>
              <w:rPr>
                <w:rFonts w:hint="eastAsia"/>
                <w:szCs w:val="21"/>
              </w:rPr>
              <w:t>(可附后)</w:t>
            </w:r>
          </w:p>
        </w:tc>
        <w:tc>
          <w:tcPr>
            <w:tcW w:w="1420" w:type="dxa"/>
            <w:vAlign w:val="center"/>
          </w:tcPr>
          <w:p>
            <w:pPr>
              <w:autoSpaceDE w:val="0"/>
              <w:autoSpaceDN w:val="0"/>
              <w:spacing w:line="400" w:lineRule="exact"/>
              <w:rPr>
                <w:szCs w:val="21"/>
              </w:rPr>
            </w:pPr>
          </w:p>
        </w:tc>
        <w:tc>
          <w:tcPr>
            <w:tcW w:w="1421" w:type="dxa"/>
            <w:vAlign w:val="center"/>
          </w:tcPr>
          <w:p>
            <w:pPr>
              <w:autoSpaceDE w:val="0"/>
              <w:autoSpaceDN w:val="0"/>
              <w:spacing w:line="400" w:lineRule="exact"/>
              <w:rPr>
                <w:szCs w:val="21"/>
              </w:rPr>
            </w:pPr>
            <w:r>
              <w:rPr>
                <w:rFonts w:hint="eastAsia"/>
                <w:szCs w:val="21"/>
              </w:rPr>
              <w:t>演练方式</w:t>
            </w:r>
          </w:p>
        </w:tc>
        <w:tc>
          <w:tcPr>
            <w:tcW w:w="1421" w:type="dxa"/>
            <w:vAlign w:val="center"/>
          </w:tcPr>
          <w:p>
            <w:pPr>
              <w:autoSpaceDE w:val="0"/>
              <w:autoSpaceDN w:val="0"/>
              <w:spacing w:line="400" w:lineRule="exact"/>
              <w:rPr>
                <w:szCs w:val="21"/>
              </w:rPr>
            </w:pPr>
          </w:p>
        </w:tc>
        <w:tc>
          <w:tcPr>
            <w:tcW w:w="1421" w:type="dxa"/>
            <w:vAlign w:val="center"/>
          </w:tcPr>
          <w:p>
            <w:pPr>
              <w:autoSpaceDE w:val="0"/>
              <w:autoSpaceDN w:val="0"/>
              <w:spacing w:line="40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419" w:type="dxa"/>
            <w:vAlign w:val="center"/>
          </w:tcPr>
          <w:p>
            <w:pPr>
              <w:autoSpaceDE w:val="0"/>
              <w:autoSpaceDN w:val="0"/>
              <w:spacing w:line="400" w:lineRule="exact"/>
              <w:rPr>
                <w:szCs w:val="21"/>
              </w:rPr>
            </w:pPr>
            <w:r>
              <w:rPr>
                <w:rFonts w:hint="eastAsia"/>
                <w:szCs w:val="21"/>
              </w:rPr>
              <w:t>演练级别</w:t>
            </w:r>
          </w:p>
        </w:tc>
        <w:tc>
          <w:tcPr>
            <w:tcW w:w="1420" w:type="dxa"/>
            <w:vAlign w:val="center"/>
          </w:tcPr>
          <w:p>
            <w:pPr>
              <w:autoSpaceDE w:val="0"/>
              <w:autoSpaceDN w:val="0"/>
              <w:spacing w:line="400" w:lineRule="exact"/>
              <w:rPr>
                <w:szCs w:val="21"/>
              </w:rPr>
            </w:pPr>
          </w:p>
        </w:tc>
        <w:tc>
          <w:tcPr>
            <w:tcW w:w="1420" w:type="dxa"/>
            <w:vAlign w:val="center"/>
          </w:tcPr>
          <w:p>
            <w:pPr>
              <w:autoSpaceDE w:val="0"/>
              <w:autoSpaceDN w:val="0"/>
              <w:spacing w:line="400" w:lineRule="exact"/>
              <w:rPr>
                <w:szCs w:val="21"/>
              </w:rPr>
            </w:pPr>
          </w:p>
        </w:tc>
        <w:tc>
          <w:tcPr>
            <w:tcW w:w="1421" w:type="dxa"/>
            <w:vAlign w:val="center"/>
          </w:tcPr>
          <w:p>
            <w:pPr>
              <w:autoSpaceDE w:val="0"/>
              <w:autoSpaceDN w:val="0"/>
              <w:spacing w:line="400" w:lineRule="exact"/>
              <w:rPr>
                <w:szCs w:val="21"/>
              </w:rPr>
            </w:pPr>
            <w:r>
              <w:rPr>
                <w:rFonts w:hint="eastAsia"/>
                <w:szCs w:val="21"/>
              </w:rPr>
              <w:t>演练程</w:t>
            </w:r>
          </w:p>
        </w:tc>
        <w:tc>
          <w:tcPr>
            <w:tcW w:w="1421" w:type="dxa"/>
            <w:vAlign w:val="center"/>
          </w:tcPr>
          <w:p>
            <w:pPr>
              <w:autoSpaceDE w:val="0"/>
              <w:autoSpaceDN w:val="0"/>
              <w:spacing w:line="400" w:lineRule="exact"/>
              <w:rPr>
                <w:szCs w:val="21"/>
              </w:rPr>
            </w:pPr>
            <w:r>
              <w:rPr>
                <w:rFonts w:hint="eastAsia"/>
                <w:szCs w:val="21"/>
              </w:rPr>
              <w:t>（可附后）</w:t>
            </w:r>
          </w:p>
        </w:tc>
        <w:tc>
          <w:tcPr>
            <w:tcW w:w="1421" w:type="dxa"/>
            <w:vAlign w:val="center"/>
          </w:tcPr>
          <w:p>
            <w:pPr>
              <w:autoSpaceDE w:val="0"/>
              <w:autoSpaceDN w:val="0"/>
              <w:spacing w:line="40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419" w:type="dxa"/>
            <w:vAlign w:val="center"/>
          </w:tcPr>
          <w:p>
            <w:pPr>
              <w:autoSpaceDE w:val="0"/>
              <w:autoSpaceDN w:val="0"/>
              <w:spacing w:line="400" w:lineRule="exact"/>
              <w:rPr>
                <w:szCs w:val="21"/>
              </w:rPr>
            </w:pPr>
            <w:r>
              <w:rPr>
                <w:rFonts w:hint="eastAsia"/>
                <w:szCs w:val="21"/>
              </w:rPr>
              <w:t>预案评审</w:t>
            </w:r>
          </w:p>
        </w:tc>
        <w:tc>
          <w:tcPr>
            <w:tcW w:w="7103" w:type="dxa"/>
            <w:gridSpan w:val="5"/>
          </w:tcPr>
          <w:p>
            <w:pPr>
              <w:autoSpaceDE w:val="0"/>
              <w:autoSpaceDN w:val="0"/>
              <w:spacing w:line="400" w:lineRule="exact"/>
              <w:jc w:val="left"/>
              <w:rPr>
                <w:szCs w:val="21"/>
              </w:rPr>
            </w:pPr>
            <w:r>
              <w:rPr>
                <w:rFonts w:hint="eastAsia"/>
                <w:szCs w:val="21"/>
              </w:rPr>
              <w:t>适宜性：□全部能够执行</w:t>
            </w:r>
          </w:p>
          <w:p>
            <w:pPr>
              <w:autoSpaceDE w:val="0"/>
              <w:autoSpaceDN w:val="0"/>
              <w:spacing w:line="400" w:lineRule="exact"/>
              <w:ind w:firstLine="840" w:firstLineChars="400"/>
              <w:jc w:val="left"/>
              <w:rPr>
                <w:szCs w:val="21"/>
              </w:rPr>
            </w:pPr>
            <w:r>
              <w:rPr>
                <w:rFonts w:hint="eastAsia"/>
                <w:szCs w:val="21"/>
              </w:rPr>
              <w:t>□执行过程不够顺利</w:t>
            </w:r>
          </w:p>
          <w:p>
            <w:pPr>
              <w:autoSpaceDE w:val="0"/>
              <w:autoSpaceDN w:val="0"/>
              <w:spacing w:line="400" w:lineRule="exact"/>
              <w:ind w:firstLine="840" w:firstLineChars="400"/>
              <w:jc w:val="left"/>
              <w:rPr>
                <w:szCs w:val="21"/>
              </w:rPr>
            </w:pPr>
            <w:r>
              <w:rPr>
                <w:rFonts w:hint="eastAsia"/>
                <w:szCs w:val="21"/>
              </w:rPr>
              <w:t>□明显不适宜</w:t>
            </w:r>
          </w:p>
          <w:p>
            <w:pPr>
              <w:autoSpaceDE w:val="0"/>
              <w:autoSpaceDN w:val="0"/>
              <w:spacing w:line="400" w:lineRule="exact"/>
              <w:jc w:val="left"/>
              <w:rPr>
                <w:szCs w:val="21"/>
              </w:rPr>
            </w:pPr>
            <w:r>
              <w:rPr>
                <w:rFonts w:hint="eastAsia"/>
                <w:szCs w:val="21"/>
              </w:rPr>
              <w:t>充分性：□完全满足应急要求</w:t>
            </w:r>
          </w:p>
          <w:p>
            <w:pPr>
              <w:autoSpaceDE w:val="0"/>
              <w:autoSpaceDN w:val="0"/>
              <w:spacing w:line="400" w:lineRule="exact"/>
              <w:ind w:firstLine="840" w:firstLineChars="400"/>
              <w:jc w:val="left"/>
              <w:rPr>
                <w:szCs w:val="21"/>
              </w:rPr>
            </w:pPr>
            <w:r>
              <w:rPr>
                <w:rFonts w:hint="eastAsia"/>
                <w:szCs w:val="21"/>
              </w:rPr>
              <w:t>□基本满足但需完善</w:t>
            </w:r>
          </w:p>
          <w:p>
            <w:pPr>
              <w:autoSpaceDE w:val="0"/>
              <w:autoSpaceDN w:val="0"/>
              <w:spacing w:line="400" w:lineRule="exact"/>
              <w:ind w:firstLine="840" w:firstLineChars="400"/>
              <w:jc w:val="left"/>
              <w:rPr>
                <w:szCs w:val="21"/>
              </w:rPr>
            </w:pPr>
            <w:r>
              <w:rPr>
                <w:rFonts w:hint="eastAsia"/>
                <w:szCs w:val="21"/>
              </w:rPr>
              <w:t>□不充分，必须修改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419" w:type="dxa"/>
            <w:vMerge w:val="restart"/>
            <w:vAlign w:val="center"/>
          </w:tcPr>
          <w:p>
            <w:pPr>
              <w:autoSpaceDE w:val="0"/>
              <w:autoSpaceDN w:val="0"/>
              <w:spacing w:line="400" w:lineRule="exact"/>
              <w:rPr>
                <w:szCs w:val="21"/>
              </w:rPr>
            </w:pPr>
            <w:r>
              <w:rPr>
                <w:rFonts w:hint="eastAsia"/>
                <w:szCs w:val="21"/>
              </w:rPr>
              <w:t>演练效果评审</w:t>
            </w:r>
          </w:p>
        </w:tc>
        <w:tc>
          <w:tcPr>
            <w:tcW w:w="1420" w:type="dxa"/>
            <w:vAlign w:val="center"/>
          </w:tcPr>
          <w:p>
            <w:pPr>
              <w:autoSpaceDE w:val="0"/>
              <w:autoSpaceDN w:val="0"/>
              <w:spacing w:line="400" w:lineRule="exact"/>
              <w:rPr>
                <w:szCs w:val="21"/>
              </w:rPr>
            </w:pPr>
            <w:r>
              <w:rPr>
                <w:rFonts w:hint="eastAsia"/>
                <w:szCs w:val="21"/>
              </w:rPr>
              <w:t>人员到位情况</w:t>
            </w:r>
          </w:p>
        </w:tc>
        <w:tc>
          <w:tcPr>
            <w:tcW w:w="5683" w:type="dxa"/>
            <w:gridSpan w:val="4"/>
          </w:tcPr>
          <w:p>
            <w:pPr>
              <w:autoSpaceDE w:val="0"/>
              <w:autoSpaceDN w:val="0"/>
              <w:spacing w:line="400" w:lineRule="exact"/>
              <w:jc w:val="left"/>
              <w:rPr>
                <w:szCs w:val="21"/>
              </w:rPr>
            </w:pPr>
            <w:r>
              <w:rPr>
                <w:rFonts w:hint="eastAsia"/>
                <w:szCs w:val="21"/>
              </w:rPr>
              <w:t>到位情况：□迅速准确，基本按时到位</w:t>
            </w:r>
          </w:p>
          <w:p>
            <w:pPr>
              <w:autoSpaceDE w:val="0"/>
              <w:autoSpaceDN w:val="0"/>
              <w:spacing w:line="400" w:lineRule="exact"/>
              <w:ind w:firstLine="1050" w:firstLineChars="500"/>
              <w:jc w:val="left"/>
              <w:rPr>
                <w:szCs w:val="21"/>
              </w:rPr>
            </w:pPr>
            <w:r>
              <w:rPr>
                <w:rFonts w:hint="eastAsia"/>
                <w:szCs w:val="21"/>
              </w:rPr>
              <w:t>□个别人员不到位</w:t>
            </w:r>
          </w:p>
          <w:p>
            <w:pPr>
              <w:autoSpaceDE w:val="0"/>
              <w:autoSpaceDN w:val="0"/>
              <w:spacing w:line="400" w:lineRule="exact"/>
              <w:ind w:firstLine="1050" w:firstLineChars="500"/>
              <w:jc w:val="left"/>
              <w:rPr>
                <w:szCs w:val="21"/>
              </w:rPr>
            </w:pPr>
            <w:r>
              <w:rPr>
                <w:rFonts w:hint="eastAsia"/>
                <w:szCs w:val="21"/>
              </w:rPr>
              <w:t>□重点部位人员不到位</w:t>
            </w:r>
          </w:p>
          <w:p>
            <w:pPr>
              <w:autoSpaceDE w:val="0"/>
              <w:autoSpaceDN w:val="0"/>
              <w:spacing w:line="400" w:lineRule="exact"/>
              <w:jc w:val="left"/>
              <w:rPr>
                <w:szCs w:val="21"/>
              </w:rPr>
            </w:pPr>
            <w:r>
              <w:rPr>
                <w:rFonts w:hint="eastAsia"/>
                <w:szCs w:val="21"/>
              </w:rPr>
              <w:t>熟练情况：□职责明确，操作熟练</w:t>
            </w:r>
          </w:p>
          <w:p>
            <w:pPr>
              <w:autoSpaceDE w:val="0"/>
              <w:autoSpaceDN w:val="0"/>
              <w:spacing w:line="400" w:lineRule="exact"/>
              <w:ind w:firstLine="1050" w:firstLineChars="500"/>
              <w:jc w:val="left"/>
              <w:rPr>
                <w:szCs w:val="21"/>
              </w:rPr>
            </w:pPr>
            <w:r>
              <w:rPr>
                <w:rFonts w:hint="eastAsia"/>
                <w:szCs w:val="21"/>
              </w:rPr>
              <w:t>□职责明确，操作不够熟练</w:t>
            </w:r>
          </w:p>
          <w:p>
            <w:pPr>
              <w:autoSpaceDE w:val="0"/>
              <w:autoSpaceDN w:val="0"/>
              <w:spacing w:line="400" w:lineRule="exact"/>
              <w:ind w:firstLine="1050" w:firstLineChars="500"/>
              <w:jc w:val="left"/>
              <w:rPr>
                <w:szCs w:val="21"/>
              </w:rPr>
            </w:pPr>
            <w:r>
              <w:rPr>
                <w:rFonts w:hint="eastAsia"/>
                <w:szCs w:val="21"/>
              </w:rPr>
              <w:t>□职责不明，操作不熟练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419" w:type="dxa"/>
            <w:vMerge w:val="continue"/>
          </w:tcPr>
          <w:p>
            <w:pPr>
              <w:autoSpaceDE w:val="0"/>
              <w:autoSpaceDN w:val="0"/>
              <w:spacing w:line="400" w:lineRule="exact"/>
              <w:jc w:val="left"/>
              <w:rPr>
                <w:szCs w:val="21"/>
              </w:rPr>
            </w:pPr>
          </w:p>
        </w:tc>
        <w:tc>
          <w:tcPr>
            <w:tcW w:w="1420" w:type="dxa"/>
            <w:vAlign w:val="center"/>
          </w:tcPr>
          <w:p>
            <w:pPr>
              <w:autoSpaceDE w:val="0"/>
              <w:autoSpaceDN w:val="0"/>
              <w:spacing w:line="400" w:lineRule="exact"/>
              <w:rPr>
                <w:szCs w:val="21"/>
              </w:rPr>
            </w:pPr>
            <w:r>
              <w:rPr>
                <w:rFonts w:hint="eastAsia"/>
                <w:szCs w:val="21"/>
              </w:rPr>
              <w:t>物资到位情况</w:t>
            </w:r>
          </w:p>
        </w:tc>
        <w:tc>
          <w:tcPr>
            <w:tcW w:w="5683" w:type="dxa"/>
            <w:gridSpan w:val="4"/>
          </w:tcPr>
          <w:p>
            <w:pPr>
              <w:autoSpaceDE w:val="0"/>
              <w:autoSpaceDN w:val="0"/>
              <w:spacing w:line="400" w:lineRule="exact"/>
              <w:jc w:val="left"/>
              <w:rPr>
                <w:szCs w:val="21"/>
              </w:rPr>
            </w:pPr>
            <w:r>
              <w:rPr>
                <w:rFonts w:hint="eastAsia"/>
                <w:szCs w:val="21"/>
              </w:rPr>
              <w:t>现场物资：□现场物资成分，全部有效</w:t>
            </w:r>
          </w:p>
          <w:p>
            <w:pPr>
              <w:autoSpaceDE w:val="0"/>
              <w:autoSpaceDN w:val="0"/>
              <w:spacing w:line="400" w:lineRule="exact"/>
              <w:ind w:firstLine="1050" w:firstLineChars="500"/>
              <w:jc w:val="left"/>
              <w:rPr>
                <w:szCs w:val="21"/>
              </w:rPr>
            </w:pPr>
            <w:r>
              <w:rPr>
                <w:rFonts w:hint="eastAsia"/>
                <w:szCs w:val="21"/>
              </w:rPr>
              <w:t>□现场准备不充分</w:t>
            </w:r>
          </w:p>
          <w:p>
            <w:pPr>
              <w:autoSpaceDE w:val="0"/>
              <w:autoSpaceDN w:val="0"/>
              <w:spacing w:line="400" w:lineRule="exact"/>
              <w:ind w:firstLine="1050" w:firstLineChars="500"/>
              <w:jc w:val="left"/>
              <w:rPr>
                <w:szCs w:val="21"/>
              </w:rPr>
            </w:pPr>
            <w:r>
              <w:rPr>
                <w:rFonts w:hint="eastAsia"/>
                <w:szCs w:val="21"/>
              </w:rPr>
              <w:t>□现场物资严重缺乏</w:t>
            </w:r>
          </w:p>
          <w:p>
            <w:pPr>
              <w:autoSpaceDE w:val="0"/>
              <w:autoSpaceDN w:val="0"/>
              <w:spacing w:line="400" w:lineRule="exact"/>
              <w:jc w:val="left"/>
              <w:rPr>
                <w:szCs w:val="21"/>
              </w:rPr>
            </w:pPr>
            <w:r>
              <w:rPr>
                <w:rFonts w:hint="eastAsia"/>
                <w:szCs w:val="21"/>
              </w:rPr>
              <w:t>个人防护：□全部人员防护到位</w:t>
            </w:r>
          </w:p>
          <w:p>
            <w:pPr>
              <w:autoSpaceDE w:val="0"/>
              <w:autoSpaceDN w:val="0"/>
              <w:spacing w:line="400" w:lineRule="exact"/>
              <w:ind w:firstLine="1050" w:firstLineChars="500"/>
              <w:jc w:val="left"/>
              <w:rPr>
                <w:szCs w:val="21"/>
              </w:rPr>
            </w:pPr>
            <w:r>
              <w:rPr>
                <w:rFonts w:hint="eastAsia"/>
                <w:szCs w:val="21"/>
              </w:rPr>
              <w:t>□个别人员防护不到位</w:t>
            </w:r>
          </w:p>
          <w:p>
            <w:pPr>
              <w:autoSpaceDE w:val="0"/>
              <w:autoSpaceDN w:val="0"/>
              <w:spacing w:line="400" w:lineRule="exact"/>
              <w:ind w:firstLine="1050" w:firstLineChars="500"/>
              <w:jc w:val="left"/>
              <w:rPr>
                <w:szCs w:val="21"/>
              </w:rPr>
            </w:pPr>
            <w:r>
              <w:rPr>
                <w:rFonts w:hint="eastAsia"/>
                <w:szCs w:val="21"/>
              </w:rPr>
              <w:t>□大部分人员防护不到位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419" w:type="dxa"/>
            <w:vMerge w:val="continue"/>
          </w:tcPr>
          <w:p>
            <w:pPr>
              <w:autoSpaceDE w:val="0"/>
              <w:autoSpaceDN w:val="0"/>
              <w:spacing w:line="400" w:lineRule="exact"/>
              <w:jc w:val="left"/>
              <w:rPr>
                <w:szCs w:val="21"/>
              </w:rPr>
            </w:pPr>
          </w:p>
        </w:tc>
        <w:tc>
          <w:tcPr>
            <w:tcW w:w="1420" w:type="dxa"/>
            <w:vAlign w:val="center"/>
          </w:tcPr>
          <w:p>
            <w:pPr>
              <w:autoSpaceDE w:val="0"/>
              <w:autoSpaceDN w:val="0"/>
              <w:spacing w:line="400" w:lineRule="exact"/>
              <w:rPr>
                <w:szCs w:val="21"/>
              </w:rPr>
            </w:pPr>
            <w:r>
              <w:rPr>
                <w:rFonts w:hint="eastAsia"/>
                <w:szCs w:val="21"/>
              </w:rPr>
              <w:t>协调组织情况</w:t>
            </w:r>
          </w:p>
        </w:tc>
        <w:tc>
          <w:tcPr>
            <w:tcW w:w="5683" w:type="dxa"/>
            <w:gridSpan w:val="4"/>
          </w:tcPr>
          <w:p>
            <w:pPr>
              <w:autoSpaceDE w:val="0"/>
              <w:autoSpaceDN w:val="0"/>
              <w:spacing w:line="400" w:lineRule="exact"/>
              <w:jc w:val="left"/>
              <w:rPr>
                <w:szCs w:val="21"/>
              </w:rPr>
            </w:pPr>
            <w:r>
              <w:rPr>
                <w:rFonts w:hint="eastAsia"/>
                <w:szCs w:val="21"/>
              </w:rPr>
              <w:t>□准确、高效</w:t>
            </w:r>
          </w:p>
          <w:p>
            <w:pPr>
              <w:autoSpaceDE w:val="0"/>
              <w:autoSpaceDN w:val="0"/>
              <w:spacing w:line="400" w:lineRule="exact"/>
              <w:jc w:val="left"/>
              <w:rPr>
                <w:szCs w:val="21"/>
              </w:rPr>
            </w:pPr>
            <w:r>
              <w:rPr>
                <w:rFonts w:hint="eastAsia"/>
                <w:szCs w:val="21"/>
              </w:rPr>
              <w:t>□协调基本顺利，能满足要求</w:t>
            </w:r>
          </w:p>
          <w:p>
            <w:pPr>
              <w:autoSpaceDE w:val="0"/>
              <w:autoSpaceDN w:val="0"/>
              <w:spacing w:line="400" w:lineRule="exact"/>
              <w:jc w:val="left"/>
              <w:rPr>
                <w:szCs w:val="21"/>
              </w:rPr>
            </w:pPr>
            <w:r>
              <w:rPr>
                <w:rFonts w:hint="eastAsia"/>
                <w:szCs w:val="21"/>
              </w:rPr>
              <w:t>□协调低，有待改进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419" w:type="dxa"/>
            <w:vMerge w:val="continue"/>
          </w:tcPr>
          <w:p>
            <w:pPr>
              <w:autoSpaceDE w:val="0"/>
              <w:autoSpaceDN w:val="0"/>
              <w:spacing w:line="400" w:lineRule="exact"/>
              <w:jc w:val="left"/>
              <w:rPr>
                <w:szCs w:val="21"/>
              </w:rPr>
            </w:pPr>
          </w:p>
        </w:tc>
        <w:tc>
          <w:tcPr>
            <w:tcW w:w="1420" w:type="dxa"/>
            <w:vAlign w:val="center"/>
          </w:tcPr>
          <w:p>
            <w:pPr>
              <w:autoSpaceDE w:val="0"/>
              <w:autoSpaceDN w:val="0"/>
              <w:spacing w:line="400" w:lineRule="exact"/>
              <w:rPr>
                <w:szCs w:val="21"/>
              </w:rPr>
            </w:pPr>
            <w:r>
              <w:rPr>
                <w:rFonts w:hint="eastAsia"/>
                <w:szCs w:val="21"/>
              </w:rPr>
              <w:t>演练效果</w:t>
            </w:r>
          </w:p>
        </w:tc>
        <w:tc>
          <w:tcPr>
            <w:tcW w:w="5683" w:type="dxa"/>
            <w:gridSpan w:val="4"/>
          </w:tcPr>
          <w:p>
            <w:pPr>
              <w:autoSpaceDE w:val="0"/>
              <w:autoSpaceDN w:val="0"/>
              <w:spacing w:line="400" w:lineRule="exact"/>
              <w:jc w:val="left"/>
              <w:rPr>
                <w:szCs w:val="21"/>
              </w:rPr>
            </w:pPr>
            <w:r>
              <w:rPr>
                <w:rFonts w:hint="eastAsia"/>
                <w:szCs w:val="21"/>
              </w:rPr>
              <w:t>□达到预期目标</w:t>
            </w:r>
          </w:p>
          <w:p>
            <w:pPr>
              <w:autoSpaceDE w:val="0"/>
              <w:autoSpaceDN w:val="0"/>
              <w:spacing w:line="400" w:lineRule="exact"/>
              <w:jc w:val="left"/>
              <w:rPr>
                <w:szCs w:val="21"/>
              </w:rPr>
            </w:pPr>
            <w:r>
              <w:rPr>
                <w:rFonts w:hint="eastAsia"/>
                <w:szCs w:val="21"/>
              </w:rPr>
              <w:t>□基本达到目的，部分环节有待改进</w:t>
            </w:r>
          </w:p>
          <w:p>
            <w:pPr>
              <w:autoSpaceDE w:val="0"/>
              <w:autoSpaceDN w:val="0"/>
              <w:spacing w:line="400" w:lineRule="exact"/>
              <w:jc w:val="left"/>
              <w:rPr>
                <w:szCs w:val="21"/>
              </w:rPr>
            </w:pPr>
            <w:r>
              <w:rPr>
                <w:rFonts w:hint="eastAsia"/>
                <w:szCs w:val="21"/>
              </w:rPr>
              <w:t>□没有达到目标，必须重新演练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419" w:type="dxa"/>
            <w:vMerge w:val="continue"/>
          </w:tcPr>
          <w:p>
            <w:pPr>
              <w:autoSpaceDE w:val="0"/>
              <w:autoSpaceDN w:val="0"/>
              <w:spacing w:line="400" w:lineRule="exact"/>
              <w:jc w:val="left"/>
              <w:rPr>
                <w:szCs w:val="21"/>
              </w:rPr>
            </w:pPr>
          </w:p>
        </w:tc>
        <w:tc>
          <w:tcPr>
            <w:tcW w:w="1420" w:type="dxa"/>
            <w:vAlign w:val="center"/>
          </w:tcPr>
          <w:p>
            <w:pPr>
              <w:autoSpaceDE w:val="0"/>
              <w:autoSpaceDN w:val="0"/>
              <w:spacing w:line="400" w:lineRule="exact"/>
              <w:rPr>
                <w:szCs w:val="21"/>
              </w:rPr>
            </w:pPr>
            <w:r>
              <w:rPr>
                <w:rFonts w:hint="eastAsia"/>
                <w:szCs w:val="21"/>
              </w:rPr>
              <w:t>支援部门和协作有效性</w:t>
            </w:r>
          </w:p>
        </w:tc>
        <w:tc>
          <w:tcPr>
            <w:tcW w:w="5683" w:type="dxa"/>
            <w:gridSpan w:val="4"/>
          </w:tcPr>
          <w:p>
            <w:pPr>
              <w:autoSpaceDE w:val="0"/>
              <w:autoSpaceDN w:val="0"/>
              <w:spacing w:line="400" w:lineRule="exact"/>
              <w:jc w:val="left"/>
              <w:rPr>
                <w:szCs w:val="21"/>
              </w:rPr>
            </w:pPr>
            <w:r>
              <w:rPr>
                <w:rFonts w:hint="eastAsia"/>
                <w:szCs w:val="21"/>
              </w:rPr>
              <w:t>□联系不上</w:t>
            </w:r>
          </w:p>
          <w:p>
            <w:pPr>
              <w:autoSpaceDE w:val="0"/>
              <w:autoSpaceDN w:val="0"/>
              <w:spacing w:line="400" w:lineRule="exact"/>
              <w:jc w:val="left"/>
              <w:rPr>
                <w:szCs w:val="21"/>
              </w:rPr>
            </w:pPr>
            <w:r>
              <w:rPr>
                <w:rFonts w:hint="eastAsia"/>
                <w:szCs w:val="21"/>
              </w:rPr>
              <w:t>□不配合</w:t>
            </w:r>
          </w:p>
          <w:p>
            <w:pPr>
              <w:autoSpaceDE w:val="0"/>
              <w:autoSpaceDN w:val="0"/>
              <w:spacing w:line="400" w:lineRule="exact"/>
              <w:jc w:val="left"/>
              <w:rPr>
                <w:szCs w:val="21"/>
              </w:rPr>
            </w:pPr>
            <w:r>
              <w:rPr>
                <w:rFonts w:hint="eastAsia"/>
                <w:szCs w:val="21"/>
              </w:rPr>
              <w:t>□行动迟缓</w:t>
            </w:r>
          </w:p>
          <w:p>
            <w:pPr>
              <w:autoSpaceDE w:val="0"/>
              <w:autoSpaceDN w:val="0"/>
              <w:spacing w:line="400" w:lineRule="exact"/>
              <w:jc w:val="left"/>
              <w:rPr>
                <w:szCs w:val="21"/>
              </w:rPr>
            </w:pPr>
            <w:r>
              <w:rPr>
                <w:rFonts w:hint="eastAsia"/>
                <w:szCs w:val="21"/>
              </w:rPr>
              <w:t>□按要求协作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419" w:type="dxa"/>
            <w:vAlign w:val="center"/>
          </w:tcPr>
          <w:p>
            <w:pPr>
              <w:autoSpaceDE w:val="0"/>
              <w:autoSpaceDN w:val="0"/>
              <w:spacing w:line="400" w:lineRule="exact"/>
              <w:rPr>
                <w:szCs w:val="21"/>
              </w:rPr>
            </w:pPr>
            <w:r>
              <w:rPr>
                <w:rFonts w:hint="eastAsia"/>
                <w:szCs w:val="21"/>
              </w:rPr>
              <w:t>存在问题</w:t>
            </w:r>
          </w:p>
        </w:tc>
        <w:tc>
          <w:tcPr>
            <w:tcW w:w="7103" w:type="dxa"/>
            <w:gridSpan w:val="5"/>
          </w:tcPr>
          <w:p>
            <w:pPr>
              <w:autoSpaceDE w:val="0"/>
              <w:autoSpaceDN w:val="0"/>
              <w:spacing w:line="400" w:lineRule="exact"/>
              <w:jc w:val="left"/>
              <w:rPr>
                <w:szCs w:val="21"/>
              </w:rPr>
            </w:pPr>
          </w:p>
          <w:p>
            <w:pPr>
              <w:autoSpaceDE w:val="0"/>
              <w:autoSpaceDN w:val="0"/>
              <w:spacing w:line="400" w:lineRule="exact"/>
              <w:jc w:val="left"/>
              <w:rPr>
                <w:szCs w:val="21"/>
                <w:u w:val="single"/>
              </w:rPr>
            </w:pPr>
            <w:r>
              <w:rPr>
                <w:rFonts w:hint="eastAsia"/>
                <w:szCs w:val="21"/>
              </w:rPr>
              <w:t>人员            □无□有</w:t>
            </w:r>
            <w:r>
              <w:rPr>
                <w:rFonts w:hint="eastAsia"/>
                <w:szCs w:val="21"/>
                <w:u w:val="single"/>
              </w:rPr>
              <w:t xml:space="preserve">                                   </w:t>
            </w:r>
          </w:p>
          <w:p>
            <w:pPr>
              <w:autoSpaceDE w:val="0"/>
              <w:autoSpaceDN w:val="0"/>
              <w:spacing w:line="400" w:lineRule="exact"/>
              <w:jc w:val="left"/>
              <w:rPr>
                <w:szCs w:val="21"/>
                <w:u w:val="single"/>
              </w:rPr>
            </w:pPr>
          </w:p>
          <w:p>
            <w:pPr>
              <w:autoSpaceDE w:val="0"/>
              <w:autoSpaceDN w:val="0"/>
              <w:spacing w:line="400" w:lineRule="exact"/>
              <w:jc w:val="left"/>
              <w:rPr>
                <w:szCs w:val="21"/>
                <w:u w:val="single"/>
              </w:rPr>
            </w:pPr>
            <w:r>
              <w:rPr>
                <w:rFonts w:hint="eastAsia"/>
                <w:szCs w:val="21"/>
              </w:rPr>
              <w:t>物资            □无□有</w:t>
            </w:r>
            <w:r>
              <w:rPr>
                <w:rFonts w:hint="eastAsia"/>
                <w:szCs w:val="21"/>
                <w:u w:val="single"/>
              </w:rPr>
              <w:t xml:space="preserve">                                   </w:t>
            </w:r>
          </w:p>
          <w:p>
            <w:pPr>
              <w:autoSpaceDE w:val="0"/>
              <w:autoSpaceDN w:val="0"/>
              <w:spacing w:line="400" w:lineRule="exact"/>
              <w:jc w:val="left"/>
              <w:rPr>
                <w:szCs w:val="21"/>
                <w:u w:val="single"/>
              </w:rPr>
            </w:pPr>
          </w:p>
          <w:p>
            <w:pPr>
              <w:autoSpaceDE w:val="0"/>
              <w:autoSpaceDN w:val="0"/>
              <w:spacing w:line="400" w:lineRule="exact"/>
              <w:jc w:val="left"/>
              <w:rPr>
                <w:szCs w:val="21"/>
                <w:u w:val="single"/>
              </w:rPr>
            </w:pPr>
            <w:r>
              <w:rPr>
                <w:rFonts w:hint="eastAsia"/>
                <w:szCs w:val="21"/>
              </w:rPr>
              <w:t>组织协调        □无□有</w:t>
            </w:r>
            <w:r>
              <w:rPr>
                <w:rFonts w:hint="eastAsia"/>
                <w:szCs w:val="21"/>
                <w:u w:val="single"/>
              </w:rPr>
              <w:t xml:space="preserve">                                   </w:t>
            </w:r>
          </w:p>
          <w:p>
            <w:pPr>
              <w:autoSpaceDE w:val="0"/>
              <w:autoSpaceDN w:val="0"/>
              <w:spacing w:line="400" w:lineRule="exact"/>
              <w:jc w:val="left"/>
              <w:rPr>
                <w:szCs w:val="21"/>
                <w:u w:val="single"/>
              </w:rPr>
            </w:pPr>
          </w:p>
          <w:p>
            <w:pPr>
              <w:autoSpaceDE w:val="0"/>
              <w:autoSpaceDN w:val="0"/>
              <w:spacing w:line="400" w:lineRule="exact"/>
              <w:jc w:val="left"/>
              <w:rPr>
                <w:szCs w:val="21"/>
                <w:u w:val="single"/>
              </w:rPr>
            </w:pPr>
            <w:r>
              <w:rPr>
                <w:rFonts w:hint="eastAsia"/>
                <w:szCs w:val="21"/>
              </w:rPr>
              <w:t>技术支持        □无□有</w:t>
            </w:r>
            <w:r>
              <w:rPr>
                <w:rFonts w:hint="eastAsia"/>
                <w:szCs w:val="21"/>
                <w:u w:val="single"/>
              </w:rPr>
              <w:t xml:space="preserve">                                   </w:t>
            </w:r>
          </w:p>
          <w:p>
            <w:pPr>
              <w:autoSpaceDE w:val="0"/>
              <w:autoSpaceDN w:val="0"/>
              <w:spacing w:line="400" w:lineRule="exact"/>
              <w:jc w:val="left"/>
              <w:rPr>
                <w:szCs w:val="21"/>
                <w:u w:val="single"/>
              </w:rPr>
            </w:pPr>
          </w:p>
          <w:p>
            <w:pPr>
              <w:autoSpaceDE w:val="0"/>
              <w:autoSpaceDN w:val="0"/>
              <w:spacing w:line="400" w:lineRule="exact"/>
              <w:jc w:val="left"/>
              <w:rPr>
                <w:szCs w:val="21"/>
                <w:u w:val="single"/>
              </w:rPr>
            </w:pPr>
            <w:r>
              <w:rPr>
                <w:rFonts w:hint="eastAsia"/>
                <w:szCs w:val="21"/>
              </w:rPr>
              <w:t>应急措施        □无□有</w:t>
            </w:r>
            <w:r>
              <w:rPr>
                <w:rFonts w:hint="eastAsia"/>
                <w:szCs w:val="21"/>
                <w:u w:val="single"/>
              </w:rPr>
              <w:t xml:space="preserve">                                   </w:t>
            </w:r>
          </w:p>
          <w:p>
            <w:pPr>
              <w:autoSpaceDE w:val="0"/>
              <w:autoSpaceDN w:val="0"/>
              <w:spacing w:line="400" w:lineRule="exact"/>
              <w:jc w:val="left"/>
              <w:rPr>
                <w:szCs w:val="21"/>
                <w:u w:val="single"/>
              </w:rPr>
            </w:pPr>
          </w:p>
          <w:p>
            <w:pPr>
              <w:autoSpaceDE w:val="0"/>
              <w:autoSpaceDN w:val="0"/>
              <w:spacing w:line="400" w:lineRule="exact"/>
              <w:jc w:val="left"/>
              <w:rPr>
                <w:szCs w:val="21"/>
                <w:u w:val="single"/>
              </w:rPr>
            </w:pPr>
            <w:r>
              <w:rPr>
                <w:rFonts w:hint="eastAsia"/>
                <w:szCs w:val="21"/>
              </w:rPr>
              <w:t>各部门应急联动  □无□有</w:t>
            </w:r>
            <w:r>
              <w:rPr>
                <w:rFonts w:hint="eastAsia"/>
                <w:szCs w:val="21"/>
                <w:u w:val="single"/>
              </w:rPr>
              <w:t xml:space="preserve">                                   </w:t>
            </w:r>
          </w:p>
          <w:p>
            <w:pPr>
              <w:autoSpaceDE w:val="0"/>
              <w:autoSpaceDN w:val="0"/>
              <w:spacing w:line="400" w:lineRule="exact"/>
              <w:jc w:val="left"/>
              <w:rPr>
                <w:szCs w:val="21"/>
                <w:u w:val="single"/>
              </w:rPr>
            </w:pPr>
          </w:p>
          <w:p>
            <w:pPr>
              <w:autoSpaceDE w:val="0"/>
              <w:autoSpaceDN w:val="0"/>
              <w:spacing w:line="400" w:lineRule="exact"/>
              <w:jc w:val="left"/>
              <w:rPr>
                <w:szCs w:val="21"/>
              </w:rPr>
            </w:pPr>
            <w:r>
              <w:rPr>
                <w:rFonts w:hint="eastAsia"/>
                <w:szCs w:val="21"/>
              </w:rPr>
              <w:t>其他            □无□有</w:t>
            </w:r>
            <w:r>
              <w:rPr>
                <w:rFonts w:hint="eastAsia"/>
                <w:szCs w:val="21"/>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419" w:type="dxa"/>
            <w:vAlign w:val="center"/>
          </w:tcPr>
          <w:p>
            <w:pPr>
              <w:autoSpaceDE w:val="0"/>
              <w:autoSpaceDN w:val="0"/>
              <w:spacing w:line="400" w:lineRule="exact"/>
              <w:rPr>
                <w:szCs w:val="21"/>
              </w:rPr>
            </w:pPr>
            <w:r>
              <w:rPr>
                <w:rFonts w:hint="eastAsia"/>
                <w:szCs w:val="21"/>
              </w:rPr>
              <w:t>改进措施</w:t>
            </w:r>
          </w:p>
        </w:tc>
        <w:tc>
          <w:tcPr>
            <w:tcW w:w="7103" w:type="dxa"/>
            <w:gridSpan w:val="5"/>
          </w:tcPr>
          <w:p>
            <w:pPr>
              <w:autoSpaceDE w:val="0"/>
              <w:autoSpaceDN w:val="0"/>
              <w:spacing w:line="400" w:lineRule="exact"/>
              <w:jc w:val="left"/>
              <w:rPr>
                <w:szCs w:val="21"/>
              </w:rPr>
            </w:pPr>
          </w:p>
          <w:p>
            <w:pPr>
              <w:autoSpaceDE w:val="0"/>
              <w:autoSpaceDN w:val="0"/>
              <w:spacing w:line="400" w:lineRule="exact"/>
              <w:jc w:val="left"/>
              <w:rPr>
                <w:szCs w:val="21"/>
                <w:u w:val="single"/>
              </w:rPr>
            </w:pPr>
            <w:r>
              <w:rPr>
                <w:rFonts w:hint="eastAsia"/>
                <w:szCs w:val="21"/>
              </w:rPr>
              <w:t>人员            □无□有</w:t>
            </w:r>
            <w:r>
              <w:rPr>
                <w:rFonts w:hint="eastAsia"/>
                <w:szCs w:val="21"/>
                <w:u w:val="single"/>
              </w:rPr>
              <w:t xml:space="preserve">                                   </w:t>
            </w:r>
          </w:p>
          <w:p>
            <w:pPr>
              <w:autoSpaceDE w:val="0"/>
              <w:autoSpaceDN w:val="0"/>
              <w:spacing w:line="400" w:lineRule="exact"/>
              <w:jc w:val="left"/>
              <w:rPr>
                <w:szCs w:val="21"/>
                <w:u w:val="single"/>
              </w:rPr>
            </w:pPr>
          </w:p>
          <w:p>
            <w:pPr>
              <w:autoSpaceDE w:val="0"/>
              <w:autoSpaceDN w:val="0"/>
              <w:spacing w:line="400" w:lineRule="exact"/>
              <w:jc w:val="left"/>
              <w:rPr>
                <w:szCs w:val="21"/>
                <w:u w:val="single"/>
              </w:rPr>
            </w:pPr>
            <w:r>
              <w:rPr>
                <w:rFonts w:hint="eastAsia"/>
                <w:szCs w:val="21"/>
              </w:rPr>
              <w:t>物资            □无□有</w:t>
            </w:r>
            <w:r>
              <w:rPr>
                <w:rFonts w:hint="eastAsia"/>
                <w:szCs w:val="21"/>
                <w:u w:val="single"/>
              </w:rPr>
              <w:t xml:space="preserve">                                   </w:t>
            </w:r>
          </w:p>
          <w:p>
            <w:pPr>
              <w:autoSpaceDE w:val="0"/>
              <w:autoSpaceDN w:val="0"/>
              <w:spacing w:line="400" w:lineRule="exact"/>
              <w:jc w:val="left"/>
              <w:rPr>
                <w:szCs w:val="21"/>
                <w:u w:val="single"/>
              </w:rPr>
            </w:pPr>
          </w:p>
          <w:p>
            <w:pPr>
              <w:autoSpaceDE w:val="0"/>
              <w:autoSpaceDN w:val="0"/>
              <w:spacing w:line="400" w:lineRule="exact"/>
              <w:jc w:val="left"/>
              <w:rPr>
                <w:szCs w:val="21"/>
                <w:u w:val="single"/>
              </w:rPr>
            </w:pPr>
            <w:r>
              <w:rPr>
                <w:rFonts w:hint="eastAsia"/>
                <w:szCs w:val="21"/>
              </w:rPr>
              <w:t>组织协调        □无□有</w:t>
            </w:r>
            <w:r>
              <w:rPr>
                <w:rFonts w:hint="eastAsia"/>
                <w:szCs w:val="21"/>
                <w:u w:val="single"/>
              </w:rPr>
              <w:t xml:space="preserve">                                   </w:t>
            </w:r>
          </w:p>
          <w:p>
            <w:pPr>
              <w:autoSpaceDE w:val="0"/>
              <w:autoSpaceDN w:val="0"/>
              <w:spacing w:line="400" w:lineRule="exact"/>
              <w:jc w:val="left"/>
              <w:rPr>
                <w:szCs w:val="21"/>
                <w:u w:val="single"/>
              </w:rPr>
            </w:pPr>
          </w:p>
          <w:p>
            <w:pPr>
              <w:autoSpaceDE w:val="0"/>
              <w:autoSpaceDN w:val="0"/>
              <w:spacing w:line="400" w:lineRule="exact"/>
              <w:jc w:val="left"/>
              <w:rPr>
                <w:szCs w:val="21"/>
                <w:u w:val="single"/>
              </w:rPr>
            </w:pPr>
            <w:r>
              <w:rPr>
                <w:rFonts w:hint="eastAsia"/>
                <w:szCs w:val="21"/>
              </w:rPr>
              <w:t>技术支持        □无□有</w:t>
            </w:r>
            <w:r>
              <w:rPr>
                <w:rFonts w:hint="eastAsia"/>
                <w:szCs w:val="21"/>
                <w:u w:val="single"/>
              </w:rPr>
              <w:t xml:space="preserve">                                   </w:t>
            </w:r>
          </w:p>
          <w:p>
            <w:pPr>
              <w:autoSpaceDE w:val="0"/>
              <w:autoSpaceDN w:val="0"/>
              <w:spacing w:line="400" w:lineRule="exact"/>
              <w:jc w:val="left"/>
              <w:rPr>
                <w:szCs w:val="21"/>
                <w:u w:val="single"/>
              </w:rPr>
            </w:pPr>
          </w:p>
          <w:p>
            <w:pPr>
              <w:autoSpaceDE w:val="0"/>
              <w:autoSpaceDN w:val="0"/>
              <w:spacing w:line="400" w:lineRule="exact"/>
              <w:jc w:val="left"/>
              <w:rPr>
                <w:szCs w:val="21"/>
                <w:u w:val="single"/>
              </w:rPr>
            </w:pPr>
            <w:r>
              <w:rPr>
                <w:rFonts w:hint="eastAsia"/>
                <w:szCs w:val="21"/>
              </w:rPr>
              <w:t>应急措施        □无□有</w:t>
            </w:r>
            <w:r>
              <w:rPr>
                <w:rFonts w:hint="eastAsia"/>
                <w:szCs w:val="21"/>
                <w:u w:val="single"/>
              </w:rPr>
              <w:t xml:space="preserve">                                  </w:t>
            </w:r>
          </w:p>
          <w:p>
            <w:pPr>
              <w:autoSpaceDE w:val="0"/>
              <w:autoSpaceDN w:val="0"/>
              <w:spacing w:line="400" w:lineRule="exact"/>
              <w:jc w:val="left"/>
              <w:rPr>
                <w:szCs w:val="21"/>
                <w:u w:val="single"/>
              </w:rPr>
            </w:pPr>
          </w:p>
          <w:p>
            <w:pPr>
              <w:autoSpaceDE w:val="0"/>
              <w:autoSpaceDN w:val="0"/>
              <w:spacing w:line="400" w:lineRule="exact"/>
              <w:jc w:val="left"/>
              <w:rPr>
                <w:szCs w:val="21"/>
                <w:u w:val="single"/>
              </w:rPr>
            </w:pPr>
            <w:r>
              <w:rPr>
                <w:rFonts w:hint="eastAsia"/>
                <w:szCs w:val="21"/>
              </w:rPr>
              <w:t>各部门应急联动  □无□有</w:t>
            </w:r>
            <w:r>
              <w:rPr>
                <w:rFonts w:hint="eastAsia"/>
                <w:szCs w:val="21"/>
                <w:u w:val="single"/>
              </w:rPr>
              <w:t xml:space="preserve">                                  </w:t>
            </w:r>
          </w:p>
          <w:p>
            <w:pPr>
              <w:autoSpaceDE w:val="0"/>
              <w:autoSpaceDN w:val="0"/>
              <w:spacing w:line="400" w:lineRule="exact"/>
              <w:jc w:val="left"/>
              <w:rPr>
                <w:szCs w:val="21"/>
                <w:u w:val="single"/>
              </w:rPr>
            </w:pPr>
          </w:p>
          <w:p>
            <w:pPr>
              <w:autoSpaceDE w:val="0"/>
              <w:autoSpaceDN w:val="0"/>
              <w:spacing w:line="400" w:lineRule="exact"/>
              <w:jc w:val="left"/>
              <w:rPr>
                <w:szCs w:val="21"/>
                <w:u w:val="single"/>
              </w:rPr>
            </w:pPr>
            <w:r>
              <w:rPr>
                <w:rFonts w:hint="eastAsia"/>
                <w:szCs w:val="21"/>
              </w:rPr>
              <w:t>其他            □无□有</w:t>
            </w:r>
            <w:r>
              <w:rPr>
                <w:rFonts w:hint="eastAsia"/>
                <w:szCs w:val="21"/>
                <w:u w:val="single"/>
              </w:rPr>
              <w:t xml:space="preserve">                                  </w:t>
            </w:r>
          </w:p>
          <w:p>
            <w:pPr>
              <w:autoSpaceDE w:val="0"/>
              <w:autoSpaceDN w:val="0"/>
              <w:spacing w:line="400" w:lineRule="exact"/>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419" w:type="dxa"/>
          </w:tcPr>
          <w:p>
            <w:pPr>
              <w:autoSpaceDE w:val="0"/>
              <w:autoSpaceDN w:val="0"/>
              <w:spacing w:line="400" w:lineRule="exact"/>
              <w:jc w:val="left"/>
              <w:rPr>
                <w:szCs w:val="21"/>
              </w:rPr>
            </w:pPr>
            <w:r>
              <w:rPr>
                <w:rFonts w:hint="eastAsia"/>
                <w:szCs w:val="21"/>
              </w:rPr>
              <w:t>记录人</w:t>
            </w:r>
          </w:p>
        </w:tc>
        <w:tc>
          <w:tcPr>
            <w:tcW w:w="1420" w:type="dxa"/>
          </w:tcPr>
          <w:p>
            <w:pPr>
              <w:autoSpaceDE w:val="0"/>
              <w:autoSpaceDN w:val="0"/>
              <w:spacing w:line="400" w:lineRule="exact"/>
              <w:jc w:val="left"/>
              <w:rPr>
                <w:szCs w:val="21"/>
              </w:rPr>
            </w:pPr>
          </w:p>
        </w:tc>
        <w:tc>
          <w:tcPr>
            <w:tcW w:w="1420" w:type="dxa"/>
          </w:tcPr>
          <w:p>
            <w:pPr>
              <w:autoSpaceDE w:val="0"/>
              <w:autoSpaceDN w:val="0"/>
              <w:spacing w:line="400" w:lineRule="exact"/>
              <w:jc w:val="left"/>
              <w:rPr>
                <w:szCs w:val="21"/>
              </w:rPr>
            </w:pPr>
            <w:r>
              <w:rPr>
                <w:rFonts w:hint="eastAsia"/>
                <w:szCs w:val="21"/>
              </w:rPr>
              <w:t>审核人</w:t>
            </w:r>
          </w:p>
        </w:tc>
        <w:tc>
          <w:tcPr>
            <w:tcW w:w="1421" w:type="dxa"/>
          </w:tcPr>
          <w:p>
            <w:pPr>
              <w:autoSpaceDE w:val="0"/>
              <w:autoSpaceDN w:val="0"/>
              <w:spacing w:line="400" w:lineRule="exact"/>
              <w:jc w:val="left"/>
              <w:rPr>
                <w:szCs w:val="21"/>
              </w:rPr>
            </w:pPr>
          </w:p>
        </w:tc>
        <w:tc>
          <w:tcPr>
            <w:tcW w:w="1421" w:type="dxa"/>
          </w:tcPr>
          <w:p>
            <w:pPr>
              <w:autoSpaceDE w:val="0"/>
              <w:autoSpaceDN w:val="0"/>
              <w:spacing w:line="400" w:lineRule="exact"/>
              <w:jc w:val="left"/>
              <w:rPr>
                <w:szCs w:val="21"/>
              </w:rPr>
            </w:pPr>
            <w:r>
              <w:rPr>
                <w:rFonts w:hint="eastAsia"/>
                <w:szCs w:val="21"/>
              </w:rPr>
              <w:t>记录时间</w:t>
            </w:r>
          </w:p>
        </w:tc>
        <w:tc>
          <w:tcPr>
            <w:tcW w:w="1421" w:type="dxa"/>
          </w:tcPr>
          <w:p>
            <w:pPr>
              <w:autoSpaceDE w:val="0"/>
              <w:autoSpaceDN w:val="0"/>
              <w:spacing w:line="400" w:lineRule="exact"/>
              <w:jc w:val="left"/>
              <w:rPr>
                <w:szCs w:val="21"/>
              </w:rPr>
            </w:pPr>
          </w:p>
        </w:tc>
      </w:tr>
      <w:bookmarkEnd w:id="578"/>
      <w:bookmarkEnd w:id="579"/>
    </w:tbl>
    <w:p/>
    <w:bookmarkEnd w:id="575"/>
    <w:bookmarkEnd w:id="576"/>
    <w:p>
      <w:pPr>
        <w:spacing w:before="156" w:beforeLines="50" w:after="156" w:afterLines="50"/>
        <w:jc w:val="left"/>
        <w:outlineLvl w:val="1"/>
        <w:rPr>
          <w:b/>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swiss"/>
    <w:pitch w:val="default"/>
    <w:sig w:usb0="FFFFFFFF" w:usb1="E9FFFFFF" w:usb2="0000003F" w:usb3="00000000" w:csb0="603F01FF" w:csb1="FFFF0000"/>
  </w:font>
  <w:font w:name="仿宋_GB2312">
    <w:altName w:val="仿宋"/>
    <w:panose1 w:val="00000000000000000000"/>
    <w:charset w:val="86"/>
    <w:family w:val="modern"/>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top w:val="single" w:color="auto" w:sz="4" w:space="1"/>
      </w:pBdr>
      <w:jc w:val="center"/>
    </w:pPr>
    <w:r>
      <w:fldChar w:fldCharType="begin"/>
    </w:r>
    <w:r>
      <w:instrText xml:space="preserve"> PAGE   \* MERGEFORMAT </w:instrText>
    </w:r>
    <w:r>
      <w:fldChar w:fldCharType="separate"/>
    </w:r>
    <w:r>
      <w:rPr>
        <w:lang w:val="zh-CN"/>
      </w:rPr>
      <w:t>II</w:t>
    </w:r>
    <w:r>
      <w:rPr>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top w:val="single" w:color="auto" w:sz="4" w:space="1"/>
      </w:pBdr>
      <w:jc w:val="center"/>
    </w:pPr>
    <w:r>
      <w:fldChar w:fldCharType="begin"/>
    </w:r>
    <w:r>
      <w:instrText xml:space="preserve"> PAGE   \* MERGEFORMAT </w:instrText>
    </w:r>
    <w:r>
      <w:fldChar w:fldCharType="separate"/>
    </w:r>
    <w:r>
      <w:rPr>
        <w:lang w:val="zh-CN"/>
      </w:rPr>
      <w:t>30</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rPr>
        <w:spacing w:val="-6"/>
        <w:sz w:val="21"/>
      </w:rPr>
    </w:pPr>
    <w:r>
      <w:rPr>
        <w:rFonts w:hint="eastAsia"/>
        <w:spacing w:val="-6"/>
        <w:sz w:val="21"/>
        <w:lang w:eastAsia="zh-CN"/>
      </w:rPr>
      <w:t>中国石化销售股份有限公司江西南昌红谷滩石油分公司世纪星加油站</w:t>
    </w:r>
    <w:r>
      <w:rPr>
        <w:rFonts w:hint="eastAsia"/>
        <w:spacing w:val="-6"/>
        <w:sz w:val="21"/>
      </w:rPr>
      <w:t>突发环境事件应急预案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rPr>
        <w:sz w:val="21"/>
      </w:rPr>
    </w:pPr>
    <w:r>
      <w:rPr>
        <w:rFonts w:hint="eastAsia"/>
        <w:sz w:val="21"/>
        <w:lang w:eastAsia="zh-CN"/>
      </w:rPr>
      <w:t>中国石化销售股份有限公司江西南昌红谷滩石油分公司世纪星加油站</w:t>
    </w:r>
    <w:r>
      <w:rPr>
        <w:rFonts w:hint="eastAsia"/>
        <w:sz w:val="21"/>
      </w:rPr>
      <w:t>突发环境事件应急预案</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rPr>
        <w:sz w:val="21"/>
      </w:rPr>
    </w:pPr>
    <w:r>
      <w:rPr>
        <w:rFonts w:hint="eastAsia"/>
        <w:sz w:val="21"/>
        <w:lang w:eastAsia="zh-CN"/>
      </w:rPr>
      <w:t>中国石化销售股份有限公司江西南昌红谷滩石油分公司世纪星加油站</w:t>
    </w:r>
    <w:r>
      <w:rPr>
        <w:rFonts w:hint="eastAsia"/>
        <w:sz w:val="21"/>
      </w:rPr>
      <w:t>突发环境事件应急预案</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rPr>
        <w:spacing w:val="-6"/>
        <w:sz w:val="21"/>
        <w:szCs w:val="21"/>
      </w:rPr>
    </w:pPr>
    <w:r>
      <w:rPr>
        <w:rFonts w:hint="eastAsia"/>
        <w:spacing w:val="-6"/>
        <w:sz w:val="21"/>
        <w:lang w:eastAsia="zh-CN"/>
      </w:rPr>
      <w:t>中国石化销售股份有限公司江西南昌红谷滩石油分公司世纪星加油站</w:t>
    </w:r>
    <w:r>
      <w:rPr>
        <w:rFonts w:hint="eastAsia"/>
        <w:color w:val="000000" w:themeColor="text1"/>
        <w:spacing w:val="-6"/>
        <w:sz w:val="21"/>
        <w:szCs w:val="21"/>
        <w14:textFill>
          <w14:solidFill>
            <w14:schemeClr w14:val="tx1"/>
          </w14:solidFill>
        </w14:textFill>
      </w:rPr>
      <w:t>突</w:t>
    </w:r>
    <w:r>
      <w:rPr>
        <w:rFonts w:hint="eastAsia"/>
        <w:spacing w:val="-6"/>
        <w:sz w:val="21"/>
        <w:szCs w:val="21"/>
      </w:rPr>
      <w:t>发环境事件应急预案</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rPr>
        <w:sz w:val="21"/>
      </w:rPr>
    </w:pPr>
    <w:r>
      <w:rPr>
        <w:rFonts w:hint="eastAsia"/>
        <w:sz w:val="21"/>
        <w:lang w:eastAsia="zh-CN"/>
      </w:rPr>
      <w:t>中国石化销售股份有限公司江西南昌红谷滩石油分公司世纪星加油站</w:t>
    </w:r>
    <w:r>
      <w:rPr>
        <w:rFonts w:hint="eastAsia"/>
        <w:sz w:val="21"/>
      </w:rPr>
      <w:t>突发环境事件应急预案</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rPr>
        <w:spacing w:val="-6"/>
        <w:sz w:val="21"/>
      </w:rPr>
    </w:pPr>
    <w:r>
      <w:rPr>
        <w:rFonts w:hint="eastAsia"/>
        <w:spacing w:val="-6"/>
        <w:sz w:val="21"/>
        <w:lang w:eastAsia="zh-CN"/>
      </w:rPr>
      <w:t>中国石化销售股份有限公司江西南昌红谷滩石油分公司世纪星加油站</w:t>
    </w:r>
    <w:r>
      <w:rPr>
        <w:rFonts w:hint="eastAsia"/>
        <w:spacing w:val="-6"/>
        <w:sz w:val="21"/>
      </w:rPr>
      <w:t>突发环境事件应急预案</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rPr>
        <w:spacing w:val="-6"/>
        <w:sz w:val="21"/>
      </w:rPr>
    </w:pPr>
    <w:r>
      <w:rPr>
        <w:rFonts w:hint="eastAsia"/>
        <w:spacing w:val="-6"/>
        <w:sz w:val="21"/>
        <w:lang w:eastAsia="zh-CN"/>
      </w:rPr>
      <w:t>中国石化销售股份有限公司江西南昌红谷滩石油分公司世纪星加油站</w:t>
    </w:r>
    <w:r>
      <w:rPr>
        <w:rFonts w:hint="eastAsia"/>
        <w:spacing w:val="-6"/>
        <w:sz w:val="21"/>
      </w:rPr>
      <w:t>突发环境事件应急预案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CC8715"/>
    <w:multiLevelType w:val="singleLevel"/>
    <w:tmpl w:val="69CC8715"/>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6649"/>
    <w:rsid w:val="000024C6"/>
    <w:rsid w:val="00010FC9"/>
    <w:rsid w:val="00011492"/>
    <w:rsid w:val="00015FF0"/>
    <w:rsid w:val="00023D12"/>
    <w:rsid w:val="00023FFA"/>
    <w:rsid w:val="00026834"/>
    <w:rsid w:val="000306FF"/>
    <w:rsid w:val="00034C44"/>
    <w:rsid w:val="00043896"/>
    <w:rsid w:val="00045F88"/>
    <w:rsid w:val="000520F3"/>
    <w:rsid w:val="000534BC"/>
    <w:rsid w:val="000546FE"/>
    <w:rsid w:val="00067560"/>
    <w:rsid w:val="00067E48"/>
    <w:rsid w:val="00076010"/>
    <w:rsid w:val="00076B1E"/>
    <w:rsid w:val="00076D00"/>
    <w:rsid w:val="0008089A"/>
    <w:rsid w:val="0008295B"/>
    <w:rsid w:val="00084B84"/>
    <w:rsid w:val="00086430"/>
    <w:rsid w:val="00091D55"/>
    <w:rsid w:val="00094A6F"/>
    <w:rsid w:val="00096156"/>
    <w:rsid w:val="000A0182"/>
    <w:rsid w:val="000A3494"/>
    <w:rsid w:val="000A41A5"/>
    <w:rsid w:val="000B0698"/>
    <w:rsid w:val="000B2308"/>
    <w:rsid w:val="000C5C1D"/>
    <w:rsid w:val="000C5D97"/>
    <w:rsid w:val="000D09AD"/>
    <w:rsid w:val="000D4E46"/>
    <w:rsid w:val="000D4EDD"/>
    <w:rsid w:val="000D5303"/>
    <w:rsid w:val="000D65A7"/>
    <w:rsid w:val="000E16E0"/>
    <w:rsid w:val="000E369E"/>
    <w:rsid w:val="000E3EEA"/>
    <w:rsid w:val="000F02B4"/>
    <w:rsid w:val="000F1A2A"/>
    <w:rsid w:val="000F2244"/>
    <w:rsid w:val="000F72FC"/>
    <w:rsid w:val="000F7F14"/>
    <w:rsid w:val="00103781"/>
    <w:rsid w:val="00104B8E"/>
    <w:rsid w:val="00113F69"/>
    <w:rsid w:val="00115B0E"/>
    <w:rsid w:val="0012066C"/>
    <w:rsid w:val="001364BE"/>
    <w:rsid w:val="00143EFF"/>
    <w:rsid w:val="00145120"/>
    <w:rsid w:val="0014675E"/>
    <w:rsid w:val="00146900"/>
    <w:rsid w:val="00150FFD"/>
    <w:rsid w:val="00151BFB"/>
    <w:rsid w:val="00152BF1"/>
    <w:rsid w:val="00152F6F"/>
    <w:rsid w:val="00153F22"/>
    <w:rsid w:val="00160A41"/>
    <w:rsid w:val="00163567"/>
    <w:rsid w:val="00165136"/>
    <w:rsid w:val="001654F3"/>
    <w:rsid w:val="00165A1F"/>
    <w:rsid w:val="0016688B"/>
    <w:rsid w:val="0016781C"/>
    <w:rsid w:val="00171638"/>
    <w:rsid w:val="001732D6"/>
    <w:rsid w:val="00174F99"/>
    <w:rsid w:val="0017784A"/>
    <w:rsid w:val="0018437D"/>
    <w:rsid w:val="00192400"/>
    <w:rsid w:val="0019653F"/>
    <w:rsid w:val="00197DBA"/>
    <w:rsid w:val="001A0FB9"/>
    <w:rsid w:val="001A1956"/>
    <w:rsid w:val="001A42FC"/>
    <w:rsid w:val="001A5C71"/>
    <w:rsid w:val="001B03EC"/>
    <w:rsid w:val="001B4375"/>
    <w:rsid w:val="001B4D43"/>
    <w:rsid w:val="001B6C97"/>
    <w:rsid w:val="001C0C2D"/>
    <w:rsid w:val="001C0F0D"/>
    <w:rsid w:val="001C14F4"/>
    <w:rsid w:val="001C5DD4"/>
    <w:rsid w:val="001D1868"/>
    <w:rsid w:val="001D42A5"/>
    <w:rsid w:val="001D761D"/>
    <w:rsid w:val="001D7C3D"/>
    <w:rsid w:val="001D7E4C"/>
    <w:rsid w:val="001E195B"/>
    <w:rsid w:val="001E44D4"/>
    <w:rsid w:val="001E4636"/>
    <w:rsid w:val="001E5D83"/>
    <w:rsid w:val="001E608C"/>
    <w:rsid w:val="001E7AA4"/>
    <w:rsid w:val="001F0D8A"/>
    <w:rsid w:val="001F41F2"/>
    <w:rsid w:val="001F7146"/>
    <w:rsid w:val="002032C4"/>
    <w:rsid w:val="002032E4"/>
    <w:rsid w:val="00204D96"/>
    <w:rsid w:val="002058DD"/>
    <w:rsid w:val="0020791C"/>
    <w:rsid w:val="00210679"/>
    <w:rsid w:val="002106E3"/>
    <w:rsid w:val="00210C4A"/>
    <w:rsid w:val="00211944"/>
    <w:rsid w:val="00217AB2"/>
    <w:rsid w:val="0022030D"/>
    <w:rsid w:val="002209CD"/>
    <w:rsid w:val="002217A7"/>
    <w:rsid w:val="00221F72"/>
    <w:rsid w:val="00230866"/>
    <w:rsid w:val="00231C4C"/>
    <w:rsid w:val="00234110"/>
    <w:rsid w:val="002406ED"/>
    <w:rsid w:val="00242164"/>
    <w:rsid w:val="00245DD6"/>
    <w:rsid w:val="00253FCA"/>
    <w:rsid w:val="00254D19"/>
    <w:rsid w:val="0025625D"/>
    <w:rsid w:val="002563F7"/>
    <w:rsid w:val="0026239B"/>
    <w:rsid w:val="002629BF"/>
    <w:rsid w:val="00262CAA"/>
    <w:rsid w:val="00263B17"/>
    <w:rsid w:val="00263D27"/>
    <w:rsid w:val="00264F27"/>
    <w:rsid w:val="00267350"/>
    <w:rsid w:val="00271A1D"/>
    <w:rsid w:val="0027297C"/>
    <w:rsid w:val="0027528E"/>
    <w:rsid w:val="0027683F"/>
    <w:rsid w:val="00280AD2"/>
    <w:rsid w:val="00281CE2"/>
    <w:rsid w:val="0028524C"/>
    <w:rsid w:val="00285D4E"/>
    <w:rsid w:val="00285E10"/>
    <w:rsid w:val="00290F37"/>
    <w:rsid w:val="0029362F"/>
    <w:rsid w:val="00293ED2"/>
    <w:rsid w:val="00294C08"/>
    <w:rsid w:val="0029520B"/>
    <w:rsid w:val="00297942"/>
    <w:rsid w:val="002A0D8D"/>
    <w:rsid w:val="002A0E1C"/>
    <w:rsid w:val="002A1344"/>
    <w:rsid w:val="002A5CB3"/>
    <w:rsid w:val="002B0175"/>
    <w:rsid w:val="002B042B"/>
    <w:rsid w:val="002B0DEE"/>
    <w:rsid w:val="002B4B5B"/>
    <w:rsid w:val="002B7556"/>
    <w:rsid w:val="002C0257"/>
    <w:rsid w:val="002C1235"/>
    <w:rsid w:val="002C1551"/>
    <w:rsid w:val="002C2192"/>
    <w:rsid w:val="002C3156"/>
    <w:rsid w:val="002C34E9"/>
    <w:rsid w:val="002C59B5"/>
    <w:rsid w:val="002C5C13"/>
    <w:rsid w:val="002C6173"/>
    <w:rsid w:val="002D029E"/>
    <w:rsid w:val="002D1D94"/>
    <w:rsid w:val="002D3BFC"/>
    <w:rsid w:val="002D507E"/>
    <w:rsid w:val="002E46A8"/>
    <w:rsid w:val="002F162D"/>
    <w:rsid w:val="002F17AF"/>
    <w:rsid w:val="002F32D6"/>
    <w:rsid w:val="002F3320"/>
    <w:rsid w:val="002F5566"/>
    <w:rsid w:val="002F733E"/>
    <w:rsid w:val="00303EF6"/>
    <w:rsid w:val="00306121"/>
    <w:rsid w:val="0030750D"/>
    <w:rsid w:val="0031217E"/>
    <w:rsid w:val="003144DC"/>
    <w:rsid w:val="00314C69"/>
    <w:rsid w:val="00315AD1"/>
    <w:rsid w:val="003160D8"/>
    <w:rsid w:val="0032192D"/>
    <w:rsid w:val="003219F9"/>
    <w:rsid w:val="00326629"/>
    <w:rsid w:val="003349EE"/>
    <w:rsid w:val="003408FC"/>
    <w:rsid w:val="003452D3"/>
    <w:rsid w:val="00346332"/>
    <w:rsid w:val="00353E18"/>
    <w:rsid w:val="00354426"/>
    <w:rsid w:val="00356B96"/>
    <w:rsid w:val="00356D3C"/>
    <w:rsid w:val="003572E4"/>
    <w:rsid w:val="00360C1E"/>
    <w:rsid w:val="003629E5"/>
    <w:rsid w:val="0036317D"/>
    <w:rsid w:val="00363FCA"/>
    <w:rsid w:val="00370332"/>
    <w:rsid w:val="00375AA1"/>
    <w:rsid w:val="00380271"/>
    <w:rsid w:val="00380E72"/>
    <w:rsid w:val="00382BCF"/>
    <w:rsid w:val="00384A55"/>
    <w:rsid w:val="003868A0"/>
    <w:rsid w:val="00391B97"/>
    <w:rsid w:val="00391D65"/>
    <w:rsid w:val="00391FE1"/>
    <w:rsid w:val="003926D7"/>
    <w:rsid w:val="003936C8"/>
    <w:rsid w:val="00395B8B"/>
    <w:rsid w:val="00397A3D"/>
    <w:rsid w:val="003B0E9F"/>
    <w:rsid w:val="003B2C63"/>
    <w:rsid w:val="003B2DFF"/>
    <w:rsid w:val="003B4163"/>
    <w:rsid w:val="003B7BC8"/>
    <w:rsid w:val="003C0D24"/>
    <w:rsid w:val="003C295C"/>
    <w:rsid w:val="003D2160"/>
    <w:rsid w:val="003D5BF2"/>
    <w:rsid w:val="003D798B"/>
    <w:rsid w:val="003D7E2D"/>
    <w:rsid w:val="003E2940"/>
    <w:rsid w:val="003E3584"/>
    <w:rsid w:val="003E433B"/>
    <w:rsid w:val="003F221D"/>
    <w:rsid w:val="003F2526"/>
    <w:rsid w:val="003F2D31"/>
    <w:rsid w:val="003F47FB"/>
    <w:rsid w:val="003F7F91"/>
    <w:rsid w:val="004013D7"/>
    <w:rsid w:val="00401501"/>
    <w:rsid w:val="0040329F"/>
    <w:rsid w:val="004065FB"/>
    <w:rsid w:val="0041179B"/>
    <w:rsid w:val="0041568F"/>
    <w:rsid w:val="004163F7"/>
    <w:rsid w:val="00421A2F"/>
    <w:rsid w:val="0042219C"/>
    <w:rsid w:val="00433ACE"/>
    <w:rsid w:val="00434089"/>
    <w:rsid w:val="0043507D"/>
    <w:rsid w:val="004406FD"/>
    <w:rsid w:val="004431C4"/>
    <w:rsid w:val="0044449E"/>
    <w:rsid w:val="004444C2"/>
    <w:rsid w:val="00445347"/>
    <w:rsid w:val="00446435"/>
    <w:rsid w:val="004475CF"/>
    <w:rsid w:val="00453BBD"/>
    <w:rsid w:val="00454B90"/>
    <w:rsid w:val="00454FBF"/>
    <w:rsid w:val="00461E4A"/>
    <w:rsid w:val="0046472A"/>
    <w:rsid w:val="004658CB"/>
    <w:rsid w:val="00466913"/>
    <w:rsid w:val="00470241"/>
    <w:rsid w:val="004740A5"/>
    <w:rsid w:val="00476545"/>
    <w:rsid w:val="004852E5"/>
    <w:rsid w:val="004868A2"/>
    <w:rsid w:val="00490666"/>
    <w:rsid w:val="0049174F"/>
    <w:rsid w:val="004A2F4E"/>
    <w:rsid w:val="004A40C0"/>
    <w:rsid w:val="004A63E5"/>
    <w:rsid w:val="004B7FCB"/>
    <w:rsid w:val="004C1595"/>
    <w:rsid w:val="004C40C1"/>
    <w:rsid w:val="004C630A"/>
    <w:rsid w:val="004D037D"/>
    <w:rsid w:val="004D2BB3"/>
    <w:rsid w:val="004D45C8"/>
    <w:rsid w:val="004D46FC"/>
    <w:rsid w:val="004D605B"/>
    <w:rsid w:val="004E0FBE"/>
    <w:rsid w:val="004E2417"/>
    <w:rsid w:val="004E4FFC"/>
    <w:rsid w:val="004F05D4"/>
    <w:rsid w:val="004F6843"/>
    <w:rsid w:val="004F6C9E"/>
    <w:rsid w:val="00500CE9"/>
    <w:rsid w:val="00510C2B"/>
    <w:rsid w:val="00511598"/>
    <w:rsid w:val="00516947"/>
    <w:rsid w:val="005201C4"/>
    <w:rsid w:val="005257A1"/>
    <w:rsid w:val="005304F0"/>
    <w:rsid w:val="00533556"/>
    <w:rsid w:val="00537A91"/>
    <w:rsid w:val="00540043"/>
    <w:rsid w:val="005519E0"/>
    <w:rsid w:val="00555053"/>
    <w:rsid w:val="005557F4"/>
    <w:rsid w:val="00555BA8"/>
    <w:rsid w:val="0055618C"/>
    <w:rsid w:val="0055620F"/>
    <w:rsid w:val="00557A36"/>
    <w:rsid w:val="0056293D"/>
    <w:rsid w:val="00562D8B"/>
    <w:rsid w:val="0056344A"/>
    <w:rsid w:val="0056418A"/>
    <w:rsid w:val="00566011"/>
    <w:rsid w:val="0056719C"/>
    <w:rsid w:val="005761A4"/>
    <w:rsid w:val="0057746E"/>
    <w:rsid w:val="005840DA"/>
    <w:rsid w:val="00593A87"/>
    <w:rsid w:val="00597903"/>
    <w:rsid w:val="005B0D82"/>
    <w:rsid w:val="005C0E30"/>
    <w:rsid w:val="005C4044"/>
    <w:rsid w:val="005D2981"/>
    <w:rsid w:val="005D342B"/>
    <w:rsid w:val="005E084D"/>
    <w:rsid w:val="005E627D"/>
    <w:rsid w:val="005F02F5"/>
    <w:rsid w:val="005F1026"/>
    <w:rsid w:val="005F2B05"/>
    <w:rsid w:val="005F5C23"/>
    <w:rsid w:val="006053A3"/>
    <w:rsid w:val="00607EEA"/>
    <w:rsid w:val="00610CDF"/>
    <w:rsid w:val="00613FD7"/>
    <w:rsid w:val="00617352"/>
    <w:rsid w:val="006204CB"/>
    <w:rsid w:val="0062075B"/>
    <w:rsid w:val="006236E2"/>
    <w:rsid w:val="00624D37"/>
    <w:rsid w:val="00625BBB"/>
    <w:rsid w:val="006264CB"/>
    <w:rsid w:val="00630F94"/>
    <w:rsid w:val="006400F0"/>
    <w:rsid w:val="00640212"/>
    <w:rsid w:val="0064097B"/>
    <w:rsid w:val="0064110A"/>
    <w:rsid w:val="00642BE8"/>
    <w:rsid w:val="0064325C"/>
    <w:rsid w:val="006555C4"/>
    <w:rsid w:val="006563FC"/>
    <w:rsid w:val="00656FE2"/>
    <w:rsid w:val="006635F1"/>
    <w:rsid w:val="00664246"/>
    <w:rsid w:val="0066451E"/>
    <w:rsid w:val="00664D93"/>
    <w:rsid w:val="00667068"/>
    <w:rsid w:val="006713AE"/>
    <w:rsid w:val="0067177F"/>
    <w:rsid w:val="006758AB"/>
    <w:rsid w:val="0067650A"/>
    <w:rsid w:val="006836ED"/>
    <w:rsid w:val="00685611"/>
    <w:rsid w:val="006906B3"/>
    <w:rsid w:val="0069360C"/>
    <w:rsid w:val="006A5736"/>
    <w:rsid w:val="006A68E0"/>
    <w:rsid w:val="006A79E8"/>
    <w:rsid w:val="006B581C"/>
    <w:rsid w:val="006C05B9"/>
    <w:rsid w:val="006C0A4D"/>
    <w:rsid w:val="006D0B5B"/>
    <w:rsid w:val="006D5739"/>
    <w:rsid w:val="006D5E6D"/>
    <w:rsid w:val="006D6BB7"/>
    <w:rsid w:val="006D7BAF"/>
    <w:rsid w:val="006E0A93"/>
    <w:rsid w:val="006E0D36"/>
    <w:rsid w:val="006E45DD"/>
    <w:rsid w:val="006E5F1B"/>
    <w:rsid w:val="006F4DBE"/>
    <w:rsid w:val="006F6075"/>
    <w:rsid w:val="006F7111"/>
    <w:rsid w:val="006F7BC9"/>
    <w:rsid w:val="00703C80"/>
    <w:rsid w:val="00707F5E"/>
    <w:rsid w:val="007118FC"/>
    <w:rsid w:val="00714401"/>
    <w:rsid w:val="00715AE6"/>
    <w:rsid w:val="00721223"/>
    <w:rsid w:val="00730420"/>
    <w:rsid w:val="00732CDA"/>
    <w:rsid w:val="00735452"/>
    <w:rsid w:val="0074044E"/>
    <w:rsid w:val="007428F8"/>
    <w:rsid w:val="007432B3"/>
    <w:rsid w:val="007457B0"/>
    <w:rsid w:val="00747EC7"/>
    <w:rsid w:val="00750234"/>
    <w:rsid w:val="00750A02"/>
    <w:rsid w:val="0075207B"/>
    <w:rsid w:val="00752586"/>
    <w:rsid w:val="00753A1E"/>
    <w:rsid w:val="00757760"/>
    <w:rsid w:val="00757D0A"/>
    <w:rsid w:val="00761064"/>
    <w:rsid w:val="00763BAE"/>
    <w:rsid w:val="007641B1"/>
    <w:rsid w:val="007714EF"/>
    <w:rsid w:val="00775D23"/>
    <w:rsid w:val="0077716B"/>
    <w:rsid w:val="00786712"/>
    <w:rsid w:val="00790348"/>
    <w:rsid w:val="00793460"/>
    <w:rsid w:val="00793747"/>
    <w:rsid w:val="00793861"/>
    <w:rsid w:val="00794298"/>
    <w:rsid w:val="00797867"/>
    <w:rsid w:val="007A2CC8"/>
    <w:rsid w:val="007A4F42"/>
    <w:rsid w:val="007B0553"/>
    <w:rsid w:val="007C29F7"/>
    <w:rsid w:val="007C408A"/>
    <w:rsid w:val="007C7812"/>
    <w:rsid w:val="007D1805"/>
    <w:rsid w:val="007D21BB"/>
    <w:rsid w:val="007D2C1C"/>
    <w:rsid w:val="007D664A"/>
    <w:rsid w:val="007D75C6"/>
    <w:rsid w:val="007D7619"/>
    <w:rsid w:val="007D7A8D"/>
    <w:rsid w:val="007E0729"/>
    <w:rsid w:val="007E1B38"/>
    <w:rsid w:val="007E217B"/>
    <w:rsid w:val="007E30DA"/>
    <w:rsid w:val="007E39AB"/>
    <w:rsid w:val="007E4891"/>
    <w:rsid w:val="007E5DED"/>
    <w:rsid w:val="007E73FD"/>
    <w:rsid w:val="007F18BE"/>
    <w:rsid w:val="007F4618"/>
    <w:rsid w:val="007F5B82"/>
    <w:rsid w:val="007F7036"/>
    <w:rsid w:val="008013D0"/>
    <w:rsid w:val="00806BF1"/>
    <w:rsid w:val="00812636"/>
    <w:rsid w:val="00812FBE"/>
    <w:rsid w:val="00816FF3"/>
    <w:rsid w:val="0082163C"/>
    <w:rsid w:val="00822238"/>
    <w:rsid w:val="00822D88"/>
    <w:rsid w:val="00823652"/>
    <w:rsid w:val="0082462C"/>
    <w:rsid w:val="00824B1C"/>
    <w:rsid w:val="008271F8"/>
    <w:rsid w:val="008276D5"/>
    <w:rsid w:val="0083132F"/>
    <w:rsid w:val="008346C4"/>
    <w:rsid w:val="0083670F"/>
    <w:rsid w:val="00840D62"/>
    <w:rsid w:val="00840E82"/>
    <w:rsid w:val="00841782"/>
    <w:rsid w:val="00842E1B"/>
    <w:rsid w:val="0084644D"/>
    <w:rsid w:val="008511CD"/>
    <w:rsid w:val="00852437"/>
    <w:rsid w:val="00862472"/>
    <w:rsid w:val="0086272A"/>
    <w:rsid w:val="0086422A"/>
    <w:rsid w:val="00867AD0"/>
    <w:rsid w:val="00874AE8"/>
    <w:rsid w:val="00885625"/>
    <w:rsid w:val="00886EFC"/>
    <w:rsid w:val="00891203"/>
    <w:rsid w:val="0089473E"/>
    <w:rsid w:val="008A10B2"/>
    <w:rsid w:val="008A3232"/>
    <w:rsid w:val="008A331F"/>
    <w:rsid w:val="008A3C97"/>
    <w:rsid w:val="008A44C6"/>
    <w:rsid w:val="008A7340"/>
    <w:rsid w:val="008A78E1"/>
    <w:rsid w:val="008B1B5E"/>
    <w:rsid w:val="008B36D2"/>
    <w:rsid w:val="008B3C2B"/>
    <w:rsid w:val="008B5697"/>
    <w:rsid w:val="008C13CA"/>
    <w:rsid w:val="008C35A1"/>
    <w:rsid w:val="008C77CB"/>
    <w:rsid w:val="008D0431"/>
    <w:rsid w:val="008D57CB"/>
    <w:rsid w:val="008E0FA9"/>
    <w:rsid w:val="008E2C46"/>
    <w:rsid w:val="008E2DA7"/>
    <w:rsid w:val="008E33E1"/>
    <w:rsid w:val="008E60DF"/>
    <w:rsid w:val="008E64D6"/>
    <w:rsid w:val="008F02CB"/>
    <w:rsid w:val="008F08D0"/>
    <w:rsid w:val="008F4ED4"/>
    <w:rsid w:val="008F5E44"/>
    <w:rsid w:val="008F6A7D"/>
    <w:rsid w:val="00900442"/>
    <w:rsid w:val="00905ED2"/>
    <w:rsid w:val="00906C15"/>
    <w:rsid w:val="00906E9A"/>
    <w:rsid w:val="00907029"/>
    <w:rsid w:val="009144D0"/>
    <w:rsid w:val="00924216"/>
    <w:rsid w:val="00926F32"/>
    <w:rsid w:val="00927CEB"/>
    <w:rsid w:val="00936B83"/>
    <w:rsid w:val="00936E62"/>
    <w:rsid w:val="00942A18"/>
    <w:rsid w:val="0094768A"/>
    <w:rsid w:val="009476F8"/>
    <w:rsid w:val="0095169C"/>
    <w:rsid w:val="00952888"/>
    <w:rsid w:val="00955452"/>
    <w:rsid w:val="009575DC"/>
    <w:rsid w:val="0096231F"/>
    <w:rsid w:val="009636DB"/>
    <w:rsid w:val="00963BA5"/>
    <w:rsid w:val="00972A3D"/>
    <w:rsid w:val="00972E71"/>
    <w:rsid w:val="00973883"/>
    <w:rsid w:val="00977BAE"/>
    <w:rsid w:val="00977EA1"/>
    <w:rsid w:val="00980236"/>
    <w:rsid w:val="0098097D"/>
    <w:rsid w:val="0098173E"/>
    <w:rsid w:val="0098296A"/>
    <w:rsid w:val="0098610E"/>
    <w:rsid w:val="00986A4D"/>
    <w:rsid w:val="00987F02"/>
    <w:rsid w:val="0099259C"/>
    <w:rsid w:val="00992689"/>
    <w:rsid w:val="009938F6"/>
    <w:rsid w:val="009A0268"/>
    <w:rsid w:val="009A108F"/>
    <w:rsid w:val="009A1637"/>
    <w:rsid w:val="009A5F00"/>
    <w:rsid w:val="009A674C"/>
    <w:rsid w:val="009B14C5"/>
    <w:rsid w:val="009B4C4C"/>
    <w:rsid w:val="009C2347"/>
    <w:rsid w:val="009C325D"/>
    <w:rsid w:val="009C3E5E"/>
    <w:rsid w:val="009C5D99"/>
    <w:rsid w:val="009D08F5"/>
    <w:rsid w:val="009D3A5D"/>
    <w:rsid w:val="009D5C76"/>
    <w:rsid w:val="009D7BB8"/>
    <w:rsid w:val="009E0FA7"/>
    <w:rsid w:val="009E209D"/>
    <w:rsid w:val="009E243A"/>
    <w:rsid w:val="009E2C96"/>
    <w:rsid w:val="009E2EDA"/>
    <w:rsid w:val="009E797A"/>
    <w:rsid w:val="009F2E91"/>
    <w:rsid w:val="009F59AE"/>
    <w:rsid w:val="009F6286"/>
    <w:rsid w:val="00A0094C"/>
    <w:rsid w:val="00A03BC2"/>
    <w:rsid w:val="00A066D7"/>
    <w:rsid w:val="00A16649"/>
    <w:rsid w:val="00A16AD3"/>
    <w:rsid w:val="00A21F0D"/>
    <w:rsid w:val="00A22DBD"/>
    <w:rsid w:val="00A22E64"/>
    <w:rsid w:val="00A230CB"/>
    <w:rsid w:val="00A2656B"/>
    <w:rsid w:val="00A3436B"/>
    <w:rsid w:val="00A42D05"/>
    <w:rsid w:val="00A436E9"/>
    <w:rsid w:val="00A461C1"/>
    <w:rsid w:val="00A50647"/>
    <w:rsid w:val="00A51902"/>
    <w:rsid w:val="00A522C2"/>
    <w:rsid w:val="00A526AB"/>
    <w:rsid w:val="00A54DB4"/>
    <w:rsid w:val="00A60632"/>
    <w:rsid w:val="00A63061"/>
    <w:rsid w:val="00A71403"/>
    <w:rsid w:val="00A7425F"/>
    <w:rsid w:val="00A759A5"/>
    <w:rsid w:val="00A7607A"/>
    <w:rsid w:val="00A777C7"/>
    <w:rsid w:val="00A8097F"/>
    <w:rsid w:val="00A809F7"/>
    <w:rsid w:val="00A8300A"/>
    <w:rsid w:val="00A83DDB"/>
    <w:rsid w:val="00A85B86"/>
    <w:rsid w:val="00A86736"/>
    <w:rsid w:val="00A87DCC"/>
    <w:rsid w:val="00A96877"/>
    <w:rsid w:val="00A97CB8"/>
    <w:rsid w:val="00AA409A"/>
    <w:rsid w:val="00AA5F9F"/>
    <w:rsid w:val="00AB4801"/>
    <w:rsid w:val="00AB4921"/>
    <w:rsid w:val="00AB545E"/>
    <w:rsid w:val="00AC1AA6"/>
    <w:rsid w:val="00AC2AB1"/>
    <w:rsid w:val="00AC40B9"/>
    <w:rsid w:val="00AC4E4B"/>
    <w:rsid w:val="00AC6A60"/>
    <w:rsid w:val="00AD203F"/>
    <w:rsid w:val="00AD6074"/>
    <w:rsid w:val="00AD65EB"/>
    <w:rsid w:val="00AD6D12"/>
    <w:rsid w:val="00AD7218"/>
    <w:rsid w:val="00AE33E6"/>
    <w:rsid w:val="00AE38D2"/>
    <w:rsid w:val="00AE6111"/>
    <w:rsid w:val="00AE6A42"/>
    <w:rsid w:val="00AF0C6B"/>
    <w:rsid w:val="00AF6C96"/>
    <w:rsid w:val="00B046CA"/>
    <w:rsid w:val="00B076DA"/>
    <w:rsid w:val="00B14B47"/>
    <w:rsid w:val="00B15674"/>
    <w:rsid w:val="00B15B6C"/>
    <w:rsid w:val="00B172A6"/>
    <w:rsid w:val="00B17C3E"/>
    <w:rsid w:val="00B2035C"/>
    <w:rsid w:val="00B21CD8"/>
    <w:rsid w:val="00B2258A"/>
    <w:rsid w:val="00B26703"/>
    <w:rsid w:val="00B271D2"/>
    <w:rsid w:val="00B2731E"/>
    <w:rsid w:val="00B31A02"/>
    <w:rsid w:val="00B35377"/>
    <w:rsid w:val="00B36B54"/>
    <w:rsid w:val="00B373FA"/>
    <w:rsid w:val="00B43AAF"/>
    <w:rsid w:val="00B44E04"/>
    <w:rsid w:val="00B44E37"/>
    <w:rsid w:val="00B50190"/>
    <w:rsid w:val="00B54CC1"/>
    <w:rsid w:val="00B550CA"/>
    <w:rsid w:val="00B60FF1"/>
    <w:rsid w:val="00B620F7"/>
    <w:rsid w:val="00B627AD"/>
    <w:rsid w:val="00B76464"/>
    <w:rsid w:val="00B83A27"/>
    <w:rsid w:val="00B845B0"/>
    <w:rsid w:val="00B86E7D"/>
    <w:rsid w:val="00B8799C"/>
    <w:rsid w:val="00B938C6"/>
    <w:rsid w:val="00B97063"/>
    <w:rsid w:val="00BA2368"/>
    <w:rsid w:val="00BA64E9"/>
    <w:rsid w:val="00BA727D"/>
    <w:rsid w:val="00BA7417"/>
    <w:rsid w:val="00BB092E"/>
    <w:rsid w:val="00BB2CAE"/>
    <w:rsid w:val="00BB3889"/>
    <w:rsid w:val="00BB6503"/>
    <w:rsid w:val="00BC1B8A"/>
    <w:rsid w:val="00BC3963"/>
    <w:rsid w:val="00BC5810"/>
    <w:rsid w:val="00BC652E"/>
    <w:rsid w:val="00BC7AD5"/>
    <w:rsid w:val="00BD35E1"/>
    <w:rsid w:val="00BD3663"/>
    <w:rsid w:val="00BD4425"/>
    <w:rsid w:val="00BD7A5C"/>
    <w:rsid w:val="00BD7BEE"/>
    <w:rsid w:val="00BE2857"/>
    <w:rsid w:val="00BE5749"/>
    <w:rsid w:val="00BE6498"/>
    <w:rsid w:val="00BE67AF"/>
    <w:rsid w:val="00BE7414"/>
    <w:rsid w:val="00BF0375"/>
    <w:rsid w:val="00BF55A5"/>
    <w:rsid w:val="00C004E7"/>
    <w:rsid w:val="00C007E4"/>
    <w:rsid w:val="00C01E70"/>
    <w:rsid w:val="00C02489"/>
    <w:rsid w:val="00C06385"/>
    <w:rsid w:val="00C06AC4"/>
    <w:rsid w:val="00C1152A"/>
    <w:rsid w:val="00C11E58"/>
    <w:rsid w:val="00C15EA0"/>
    <w:rsid w:val="00C16D20"/>
    <w:rsid w:val="00C17DE2"/>
    <w:rsid w:val="00C2326B"/>
    <w:rsid w:val="00C2381C"/>
    <w:rsid w:val="00C24CB1"/>
    <w:rsid w:val="00C251D1"/>
    <w:rsid w:val="00C25A31"/>
    <w:rsid w:val="00C2701A"/>
    <w:rsid w:val="00C32362"/>
    <w:rsid w:val="00C326DD"/>
    <w:rsid w:val="00C3659D"/>
    <w:rsid w:val="00C42465"/>
    <w:rsid w:val="00C44DFF"/>
    <w:rsid w:val="00C471E4"/>
    <w:rsid w:val="00C51992"/>
    <w:rsid w:val="00C54C71"/>
    <w:rsid w:val="00C561E2"/>
    <w:rsid w:val="00C603E4"/>
    <w:rsid w:val="00C630C2"/>
    <w:rsid w:val="00C6382B"/>
    <w:rsid w:val="00C63A5E"/>
    <w:rsid w:val="00C66355"/>
    <w:rsid w:val="00C71EA2"/>
    <w:rsid w:val="00C72B67"/>
    <w:rsid w:val="00C7515B"/>
    <w:rsid w:val="00C800D4"/>
    <w:rsid w:val="00C842A6"/>
    <w:rsid w:val="00C84C48"/>
    <w:rsid w:val="00C8577A"/>
    <w:rsid w:val="00C86728"/>
    <w:rsid w:val="00C86DAC"/>
    <w:rsid w:val="00C914D9"/>
    <w:rsid w:val="00C91E71"/>
    <w:rsid w:val="00C92286"/>
    <w:rsid w:val="00C965C6"/>
    <w:rsid w:val="00CA083C"/>
    <w:rsid w:val="00CA564B"/>
    <w:rsid w:val="00CA6446"/>
    <w:rsid w:val="00CA6D1A"/>
    <w:rsid w:val="00CB0A43"/>
    <w:rsid w:val="00CB5FC6"/>
    <w:rsid w:val="00CB634A"/>
    <w:rsid w:val="00CB6DDC"/>
    <w:rsid w:val="00CC19D3"/>
    <w:rsid w:val="00CC66FD"/>
    <w:rsid w:val="00CD1F9D"/>
    <w:rsid w:val="00CD2E3F"/>
    <w:rsid w:val="00CD3472"/>
    <w:rsid w:val="00CD71BD"/>
    <w:rsid w:val="00CE0412"/>
    <w:rsid w:val="00CE2336"/>
    <w:rsid w:val="00CE6CAC"/>
    <w:rsid w:val="00CF3DA0"/>
    <w:rsid w:val="00CF4768"/>
    <w:rsid w:val="00CF62A9"/>
    <w:rsid w:val="00CF6611"/>
    <w:rsid w:val="00CF6A3B"/>
    <w:rsid w:val="00CF7F54"/>
    <w:rsid w:val="00D01C02"/>
    <w:rsid w:val="00D1125D"/>
    <w:rsid w:val="00D11F87"/>
    <w:rsid w:val="00D23484"/>
    <w:rsid w:val="00D237E4"/>
    <w:rsid w:val="00D25CB6"/>
    <w:rsid w:val="00D30F9E"/>
    <w:rsid w:val="00D3153A"/>
    <w:rsid w:val="00D318E1"/>
    <w:rsid w:val="00D41E3D"/>
    <w:rsid w:val="00D4393E"/>
    <w:rsid w:val="00D462DB"/>
    <w:rsid w:val="00D4689F"/>
    <w:rsid w:val="00D46C42"/>
    <w:rsid w:val="00D471AB"/>
    <w:rsid w:val="00D472D3"/>
    <w:rsid w:val="00D56070"/>
    <w:rsid w:val="00D60823"/>
    <w:rsid w:val="00D6096E"/>
    <w:rsid w:val="00D63018"/>
    <w:rsid w:val="00D63356"/>
    <w:rsid w:val="00D64389"/>
    <w:rsid w:val="00D700EF"/>
    <w:rsid w:val="00D70A9F"/>
    <w:rsid w:val="00D70D7B"/>
    <w:rsid w:val="00D71EFF"/>
    <w:rsid w:val="00D73170"/>
    <w:rsid w:val="00D74967"/>
    <w:rsid w:val="00D76D5C"/>
    <w:rsid w:val="00D77755"/>
    <w:rsid w:val="00D777A6"/>
    <w:rsid w:val="00D81E0B"/>
    <w:rsid w:val="00D84A25"/>
    <w:rsid w:val="00D858D8"/>
    <w:rsid w:val="00D85E12"/>
    <w:rsid w:val="00D86AA3"/>
    <w:rsid w:val="00D86DBE"/>
    <w:rsid w:val="00D8748B"/>
    <w:rsid w:val="00D95F33"/>
    <w:rsid w:val="00DA3F2D"/>
    <w:rsid w:val="00DB1CD6"/>
    <w:rsid w:val="00DC0FFF"/>
    <w:rsid w:val="00DC3DDF"/>
    <w:rsid w:val="00DC653D"/>
    <w:rsid w:val="00DC6946"/>
    <w:rsid w:val="00DD1695"/>
    <w:rsid w:val="00DD173A"/>
    <w:rsid w:val="00DD1B7C"/>
    <w:rsid w:val="00DD3718"/>
    <w:rsid w:val="00DD3BEF"/>
    <w:rsid w:val="00DD7017"/>
    <w:rsid w:val="00DE323F"/>
    <w:rsid w:val="00DE4977"/>
    <w:rsid w:val="00DE7310"/>
    <w:rsid w:val="00DF0387"/>
    <w:rsid w:val="00DF5AEB"/>
    <w:rsid w:val="00DF5EC4"/>
    <w:rsid w:val="00DF652E"/>
    <w:rsid w:val="00E004AE"/>
    <w:rsid w:val="00E010F9"/>
    <w:rsid w:val="00E0136E"/>
    <w:rsid w:val="00E02537"/>
    <w:rsid w:val="00E02D33"/>
    <w:rsid w:val="00E041C2"/>
    <w:rsid w:val="00E048D2"/>
    <w:rsid w:val="00E056B8"/>
    <w:rsid w:val="00E100FC"/>
    <w:rsid w:val="00E12505"/>
    <w:rsid w:val="00E130F9"/>
    <w:rsid w:val="00E24120"/>
    <w:rsid w:val="00E25D30"/>
    <w:rsid w:val="00E275DD"/>
    <w:rsid w:val="00E27B76"/>
    <w:rsid w:val="00E3293F"/>
    <w:rsid w:val="00E338B6"/>
    <w:rsid w:val="00E34A73"/>
    <w:rsid w:val="00E34EC8"/>
    <w:rsid w:val="00E37650"/>
    <w:rsid w:val="00E379FC"/>
    <w:rsid w:val="00E4357C"/>
    <w:rsid w:val="00E47339"/>
    <w:rsid w:val="00E5058A"/>
    <w:rsid w:val="00E53B9D"/>
    <w:rsid w:val="00E555F3"/>
    <w:rsid w:val="00E55F95"/>
    <w:rsid w:val="00E637E0"/>
    <w:rsid w:val="00E71FCE"/>
    <w:rsid w:val="00E75F54"/>
    <w:rsid w:val="00E76F79"/>
    <w:rsid w:val="00E77295"/>
    <w:rsid w:val="00E804F7"/>
    <w:rsid w:val="00E805A4"/>
    <w:rsid w:val="00E84599"/>
    <w:rsid w:val="00E931EC"/>
    <w:rsid w:val="00E94196"/>
    <w:rsid w:val="00E95526"/>
    <w:rsid w:val="00EA54A4"/>
    <w:rsid w:val="00EA57FA"/>
    <w:rsid w:val="00EB64FF"/>
    <w:rsid w:val="00EC29D1"/>
    <w:rsid w:val="00EC52EE"/>
    <w:rsid w:val="00EC5CDE"/>
    <w:rsid w:val="00EC7F68"/>
    <w:rsid w:val="00ED2597"/>
    <w:rsid w:val="00ED4981"/>
    <w:rsid w:val="00ED4F6B"/>
    <w:rsid w:val="00EE1FC3"/>
    <w:rsid w:val="00EE2C53"/>
    <w:rsid w:val="00EE48A7"/>
    <w:rsid w:val="00EF6F47"/>
    <w:rsid w:val="00F00D6E"/>
    <w:rsid w:val="00F024D6"/>
    <w:rsid w:val="00F03E22"/>
    <w:rsid w:val="00F04E73"/>
    <w:rsid w:val="00F04EF9"/>
    <w:rsid w:val="00F05953"/>
    <w:rsid w:val="00F07A9A"/>
    <w:rsid w:val="00F114DE"/>
    <w:rsid w:val="00F13E8D"/>
    <w:rsid w:val="00F1449C"/>
    <w:rsid w:val="00F215B2"/>
    <w:rsid w:val="00F2742D"/>
    <w:rsid w:val="00F27702"/>
    <w:rsid w:val="00F30CE2"/>
    <w:rsid w:val="00F32F18"/>
    <w:rsid w:val="00F3371B"/>
    <w:rsid w:val="00F3376B"/>
    <w:rsid w:val="00F34004"/>
    <w:rsid w:val="00F374AC"/>
    <w:rsid w:val="00F37763"/>
    <w:rsid w:val="00F40EBE"/>
    <w:rsid w:val="00F4133E"/>
    <w:rsid w:val="00F41395"/>
    <w:rsid w:val="00F47D83"/>
    <w:rsid w:val="00F5161C"/>
    <w:rsid w:val="00F5261C"/>
    <w:rsid w:val="00F530B1"/>
    <w:rsid w:val="00F601DD"/>
    <w:rsid w:val="00F60476"/>
    <w:rsid w:val="00F627C5"/>
    <w:rsid w:val="00F63CF3"/>
    <w:rsid w:val="00F652E9"/>
    <w:rsid w:val="00F717A9"/>
    <w:rsid w:val="00F74B25"/>
    <w:rsid w:val="00F74C2F"/>
    <w:rsid w:val="00F7515A"/>
    <w:rsid w:val="00F767B8"/>
    <w:rsid w:val="00F76C13"/>
    <w:rsid w:val="00F82092"/>
    <w:rsid w:val="00F83810"/>
    <w:rsid w:val="00F8462E"/>
    <w:rsid w:val="00F875E3"/>
    <w:rsid w:val="00F87DEA"/>
    <w:rsid w:val="00F93537"/>
    <w:rsid w:val="00F94743"/>
    <w:rsid w:val="00F95F1E"/>
    <w:rsid w:val="00F97A23"/>
    <w:rsid w:val="00FA1AC4"/>
    <w:rsid w:val="00FA1D33"/>
    <w:rsid w:val="00FA3086"/>
    <w:rsid w:val="00FA5DD7"/>
    <w:rsid w:val="00FA665B"/>
    <w:rsid w:val="00FB05DD"/>
    <w:rsid w:val="00FB4366"/>
    <w:rsid w:val="00FB5815"/>
    <w:rsid w:val="00FC2439"/>
    <w:rsid w:val="00FC3B77"/>
    <w:rsid w:val="00FC4310"/>
    <w:rsid w:val="00FD074F"/>
    <w:rsid w:val="00FD0933"/>
    <w:rsid w:val="00FD0B20"/>
    <w:rsid w:val="00FE0300"/>
    <w:rsid w:val="00FE0C48"/>
    <w:rsid w:val="00FE14D9"/>
    <w:rsid w:val="00FE5D6C"/>
    <w:rsid w:val="00FE6865"/>
    <w:rsid w:val="00FE6AEB"/>
    <w:rsid w:val="00FF3C52"/>
    <w:rsid w:val="00FF4BB7"/>
    <w:rsid w:val="00FF60CD"/>
    <w:rsid w:val="00FF7842"/>
    <w:rsid w:val="048B649B"/>
    <w:rsid w:val="065D61E1"/>
    <w:rsid w:val="09BF4A3F"/>
    <w:rsid w:val="1FE31BDB"/>
    <w:rsid w:val="46BC4E0F"/>
    <w:rsid w:val="677D5B76"/>
    <w:rsid w:val="7763367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nhideWhenUsed="0" w:uiPriority="99" w:semiHidden="0" w:name="annotation text"/>
    <w:lsdException w:qFormat="1" w:uiPriority="0"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40"/>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41"/>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link w:val="42"/>
    <w:qFormat/>
    <w:uiPriority w:val="9"/>
    <w:pPr>
      <w:keepNext/>
      <w:keepLines/>
      <w:spacing w:before="260" w:after="260" w:line="416" w:lineRule="auto"/>
      <w:outlineLvl w:val="2"/>
    </w:pPr>
    <w:rPr>
      <w:b/>
      <w:bCs/>
      <w:sz w:val="32"/>
      <w:szCs w:val="32"/>
    </w:rPr>
  </w:style>
  <w:style w:type="paragraph" w:styleId="6">
    <w:name w:val="heading 4"/>
    <w:basedOn w:val="1"/>
    <w:next w:val="1"/>
    <w:link w:val="69"/>
    <w:unhideWhenUsed/>
    <w:qFormat/>
    <w:uiPriority w:val="9"/>
    <w:pPr>
      <w:keepNext/>
      <w:keepLines/>
      <w:spacing w:before="280" w:after="290" w:line="376" w:lineRule="auto"/>
      <w:outlineLvl w:val="3"/>
    </w:pPr>
    <w:rPr>
      <w:rFonts w:ascii="Cambria" w:hAnsi="Cambria"/>
      <w:b/>
      <w:bCs/>
      <w:sz w:val="28"/>
      <w:szCs w:val="28"/>
    </w:rPr>
  </w:style>
  <w:style w:type="paragraph" w:styleId="7">
    <w:name w:val="heading 8"/>
    <w:basedOn w:val="1"/>
    <w:next w:val="1"/>
    <w:link w:val="96"/>
    <w:semiHidden/>
    <w:unhideWhenUsed/>
    <w:qFormat/>
    <w:uiPriority w:val="9"/>
    <w:pPr>
      <w:keepNext/>
      <w:keepLines/>
      <w:spacing w:before="240" w:after="64" w:line="320" w:lineRule="auto"/>
      <w:outlineLvl w:val="7"/>
    </w:pPr>
    <w:rPr>
      <w:rFonts w:asciiTheme="majorHAnsi" w:hAnsiTheme="majorHAnsi" w:eastAsiaTheme="majorEastAsia" w:cstheme="majorBidi"/>
      <w:sz w:val="24"/>
    </w:rPr>
  </w:style>
  <w:style w:type="character" w:default="1" w:styleId="33">
    <w:name w:val="Default Paragraph Font"/>
    <w:semiHidden/>
    <w:unhideWhenUsed/>
    <w:uiPriority w:val="1"/>
  </w:style>
  <w:style w:type="table" w:default="1" w:styleId="31">
    <w:name w:val="Normal Table"/>
    <w:semiHidden/>
    <w:unhideWhenUsed/>
    <w:qFormat/>
    <w:uiPriority w:val="99"/>
    <w:tblPr>
      <w:tblLayout w:type="fixed"/>
      <w:tblCellMar>
        <w:top w:w="0" w:type="dxa"/>
        <w:left w:w="108" w:type="dxa"/>
        <w:bottom w:w="0" w:type="dxa"/>
        <w:right w:w="108" w:type="dxa"/>
      </w:tblCellMar>
    </w:tblPr>
  </w:style>
  <w:style w:type="paragraph" w:styleId="2">
    <w:name w:val="Normal Indent"/>
    <w:basedOn w:val="1"/>
    <w:link w:val="76"/>
    <w:qFormat/>
    <w:uiPriority w:val="0"/>
    <w:pPr>
      <w:ind w:firstLine="420"/>
    </w:pPr>
    <w:rPr>
      <w:rFonts w:ascii="Calibri" w:hAnsi="Calibri"/>
      <w:szCs w:val="22"/>
    </w:rPr>
  </w:style>
  <w:style w:type="paragraph" w:styleId="8">
    <w:name w:val="toc 7"/>
    <w:basedOn w:val="1"/>
    <w:next w:val="1"/>
    <w:unhideWhenUsed/>
    <w:qFormat/>
    <w:uiPriority w:val="39"/>
    <w:pPr>
      <w:ind w:left="2520" w:leftChars="1200"/>
    </w:pPr>
    <w:rPr>
      <w:rFonts w:ascii="Calibri" w:hAnsi="Calibri"/>
      <w:szCs w:val="22"/>
    </w:rPr>
  </w:style>
  <w:style w:type="paragraph" w:styleId="9">
    <w:name w:val="caption"/>
    <w:basedOn w:val="1"/>
    <w:next w:val="1"/>
    <w:link w:val="58"/>
    <w:unhideWhenUsed/>
    <w:qFormat/>
    <w:uiPriority w:val="0"/>
    <w:pPr>
      <w:spacing w:line="440" w:lineRule="exact"/>
      <w:jc w:val="center"/>
    </w:pPr>
    <w:rPr>
      <w:b/>
      <w:spacing w:val="4"/>
      <w:szCs w:val="20"/>
    </w:rPr>
  </w:style>
  <w:style w:type="paragraph" w:styleId="10">
    <w:name w:val="Document Map"/>
    <w:basedOn w:val="1"/>
    <w:link w:val="53"/>
    <w:semiHidden/>
    <w:unhideWhenUsed/>
    <w:qFormat/>
    <w:uiPriority w:val="99"/>
    <w:rPr>
      <w:rFonts w:ascii="宋体"/>
      <w:sz w:val="18"/>
      <w:szCs w:val="18"/>
    </w:rPr>
  </w:style>
  <w:style w:type="paragraph" w:styleId="11">
    <w:name w:val="annotation text"/>
    <w:basedOn w:val="1"/>
    <w:link w:val="50"/>
    <w:qFormat/>
    <w:uiPriority w:val="99"/>
    <w:pPr>
      <w:jc w:val="left"/>
    </w:pPr>
  </w:style>
  <w:style w:type="paragraph" w:styleId="12">
    <w:name w:val="Body Text"/>
    <w:basedOn w:val="1"/>
    <w:link w:val="65"/>
    <w:unhideWhenUsed/>
    <w:qFormat/>
    <w:uiPriority w:val="99"/>
    <w:pPr>
      <w:spacing w:after="120"/>
    </w:pPr>
    <w:rPr>
      <w:rFonts w:ascii="宋体"/>
      <w:spacing w:val="5"/>
      <w:sz w:val="25"/>
    </w:rPr>
  </w:style>
  <w:style w:type="paragraph" w:styleId="13">
    <w:name w:val="Body Text Indent"/>
    <w:basedOn w:val="1"/>
    <w:link w:val="46"/>
    <w:qFormat/>
    <w:uiPriority w:val="99"/>
    <w:pPr>
      <w:spacing w:after="120"/>
      <w:ind w:left="420" w:leftChars="200"/>
    </w:pPr>
  </w:style>
  <w:style w:type="paragraph" w:styleId="14">
    <w:name w:val="List 2"/>
    <w:basedOn w:val="1"/>
    <w:semiHidden/>
    <w:unhideWhenUsed/>
    <w:qFormat/>
    <w:uiPriority w:val="99"/>
    <w:pPr>
      <w:ind w:left="100" w:leftChars="200" w:hanging="200" w:hangingChars="200"/>
      <w:contextualSpacing/>
    </w:pPr>
  </w:style>
  <w:style w:type="paragraph" w:styleId="15">
    <w:name w:val="toc 5"/>
    <w:basedOn w:val="1"/>
    <w:next w:val="1"/>
    <w:unhideWhenUsed/>
    <w:qFormat/>
    <w:uiPriority w:val="39"/>
    <w:pPr>
      <w:ind w:left="1680" w:leftChars="800"/>
    </w:pPr>
    <w:rPr>
      <w:rFonts w:ascii="Calibri" w:hAnsi="Calibri"/>
      <w:szCs w:val="22"/>
    </w:rPr>
  </w:style>
  <w:style w:type="paragraph" w:styleId="16">
    <w:name w:val="toc 3"/>
    <w:basedOn w:val="1"/>
    <w:next w:val="1"/>
    <w:unhideWhenUsed/>
    <w:qFormat/>
    <w:uiPriority w:val="39"/>
    <w:pPr>
      <w:ind w:left="840" w:leftChars="400"/>
    </w:pPr>
  </w:style>
  <w:style w:type="paragraph" w:styleId="17">
    <w:name w:val="Plain Text"/>
    <w:basedOn w:val="1"/>
    <w:link w:val="48"/>
    <w:qFormat/>
    <w:uiPriority w:val="99"/>
    <w:pPr>
      <w:spacing w:line="360" w:lineRule="auto"/>
      <w:ind w:firstLine="200" w:firstLineChars="200"/>
    </w:pPr>
    <w:rPr>
      <w:rFonts w:ascii="宋体" w:hAnsi="Courier New"/>
      <w:kern w:val="0"/>
      <w:sz w:val="28"/>
      <w:szCs w:val="20"/>
    </w:rPr>
  </w:style>
  <w:style w:type="paragraph" w:styleId="18">
    <w:name w:val="toc 8"/>
    <w:basedOn w:val="1"/>
    <w:next w:val="1"/>
    <w:unhideWhenUsed/>
    <w:qFormat/>
    <w:uiPriority w:val="39"/>
    <w:pPr>
      <w:ind w:left="2940" w:leftChars="1400"/>
    </w:pPr>
    <w:rPr>
      <w:rFonts w:ascii="Calibri" w:hAnsi="Calibri"/>
      <w:szCs w:val="22"/>
    </w:rPr>
  </w:style>
  <w:style w:type="paragraph" w:styleId="19">
    <w:name w:val="Balloon Text"/>
    <w:basedOn w:val="1"/>
    <w:link w:val="64"/>
    <w:semiHidden/>
    <w:unhideWhenUsed/>
    <w:qFormat/>
    <w:uiPriority w:val="99"/>
    <w:rPr>
      <w:sz w:val="18"/>
      <w:szCs w:val="18"/>
    </w:rPr>
  </w:style>
  <w:style w:type="paragraph" w:styleId="20">
    <w:name w:val="footer"/>
    <w:basedOn w:val="1"/>
    <w:link w:val="44"/>
    <w:unhideWhenUsed/>
    <w:qFormat/>
    <w:uiPriority w:val="99"/>
    <w:pPr>
      <w:tabs>
        <w:tab w:val="center" w:pos="4153"/>
        <w:tab w:val="right" w:pos="8306"/>
      </w:tabs>
      <w:snapToGrid w:val="0"/>
      <w:jc w:val="left"/>
    </w:pPr>
    <w:rPr>
      <w:sz w:val="18"/>
      <w:szCs w:val="18"/>
    </w:rPr>
  </w:style>
  <w:style w:type="paragraph" w:styleId="21">
    <w:name w:val="header"/>
    <w:basedOn w:val="1"/>
    <w:link w:val="43"/>
    <w:unhideWhenUsed/>
    <w:qFormat/>
    <w:uiPriority w:val="0"/>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tabs>
        <w:tab w:val="right" w:leader="dot" w:pos="8296"/>
      </w:tabs>
      <w:spacing w:line="360" w:lineRule="auto"/>
      <w:jc w:val="center"/>
    </w:pPr>
    <w:rPr>
      <w:b/>
      <w:bCs/>
      <w:caps/>
      <w:snapToGrid w:val="0"/>
      <w:sz w:val="24"/>
      <w:szCs w:val="28"/>
    </w:rPr>
  </w:style>
  <w:style w:type="paragraph" w:styleId="23">
    <w:name w:val="toc 4"/>
    <w:basedOn w:val="1"/>
    <w:next w:val="1"/>
    <w:unhideWhenUsed/>
    <w:qFormat/>
    <w:uiPriority w:val="39"/>
    <w:pPr>
      <w:ind w:left="1260" w:leftChars="600"/>
    </w:pPr>
    <w:rPr>
      <w:rFonts w:ascii="Calibri" w:hAnsi="Calibri"/>
      <w:szCs w:val="22"/>
    </w:rPr>
  </w:style>
  <w:style w:type="paragraph" w:styleId="24">
    <w:name w:val="toc 6"/>
    <w:basedOn w:val="1"/>
    <w:next w:val="1"/>
    <w:unhideWhenUsed/>
    <w:qFormat/>
    <w:uiPriority w:val="39"/>
    <w:pPr>
      <w:ind w:left="2100" w:leftChars="1000"/>
    </w:pPr>
    <w:rPr>
      <w:rFonts w:ascii="Calibri" w:hAnsi="Calibri"/>
      <w:szCs w:val="22"/>
    </w:rPr>
  </w:style>
  <w:style w:type="paragraph" w:styleId="25">
    <w:name w:val="toc 2"/>
    <w:basedOn w:val="1"/>
    <w:next w:val="1"/>
    <w:unhideWhenUsed/>
    <w:qFormat/>
    <w:uiPriority w:val="39"/>
    <w:pPr>
      <w:ind w:left="420" w:leftChars="200"/>
    </w:pPr>
  </w:style>
  <w:style w:type="paragraph" w:styleId="26">
    <w:name w:val="toc 9"/>
    <w:basedOn w:val="1"/>
    <w:next w:val="1"/>
    <w:unhideWhenUsed/>
    <w:qFormat/>
    <w:uiPriority w:val="39"/>
    <w:pPr>
      <w:ind w:left="3360" w:leftChars="1600"/>
    </w:pPr>
    <w:rPr>
      <w:rFonts w:ascii="Calibri" w:hAnsi="Calibri"/>
      <w:szCs w:val="22"/>
    </w:rPr>
  </w:style>
  <w:style w:type="paragraph" w:styleId="27">
    <w:name w:val="Normal (Web)"/>
    <w:basedOn w:val="1"/>
    <w:link w:val="103"/>
    <w:qFormat/>
    <w:uiPriority w:val="99"/>
    <w:pPr>
      <w:widowControl/>
      <w:spacing w:before="100" w:beforeAutospacing="1" w:after="100" w:afterAutospacing="1"/>
      <w:jc w:val="left"/>
    </w:pPr>
    <w:rPr>
      <w:rFonts w:ascii="宋体" w:hAnsi="宋体" w:cs="宋体"/>
      <w:kern w:val="0"/>
      <w:sz w:val="24"/>
    </w:rPr>
  </w:style>
  <w:style w:type="paragraph" w:styleId="28">
    <w:name w:val="Title"/>
    <w:basedOn w:val="1"/>
    <w:next w:val="1"/>
    <w:link w:val="73"/>
    <w:qFormat/>
    <w:uiPriority w:val="0"/>
    <w:pPr>
      <w:spacing w:before="120" w:after="120" w:line="440" w:lineRule="exact"/>
      <w:outlineLvl w:val="1"/>
    </w:pPr>
    <w:rPr>
      <w:b/>
      <w:spacing w:val="5"/>
      <w:sz w:val="30"/>
      <w:szCs w:val="30"/>
    </w:rPr>
  </w:style>
  <w:style w:type="paragraph" w:styleId="29">
    <w:name w:val="annotation subject"/>
    <w:basedOn w:val="11"/>
    <w:next w:val="11"/>
    <w:link w:val="63"/>
    <w:semiHidden/>
    <w:unhideWhenUsed/>
    <w:qFormat/>
    <w:uiPriority w:val="99"/>
    <w:rPr>
      <w:b/>
      <w:bCs/>
    </w:rPr>
  </w:style>
  <w:style w:type="paragraph" w:styleId="30">
    <w:name w:val="Body Text First Indent"/>
    <w:basedOn w:val="12"/>
    <w:link w:val="84"/>
    <w:unhideWhenUsed/>
    <w:qFormat/>
    <w:uiPriority w:val="0"/>
    <w:pPr>
      <w:ind w:firstLine="420" w:firstLineChars="100"/>
    </w:pPr>
    <w:rPr>
      <w:rFonts w:ascii="黑体"/>
      <w:spacing w:val="0"/>
      <w:sz w:val="21"/>
      <w:szCs w:val="20"/>
    </w:rPr>
  </w:style>
  <w:style w:type="table" w:styleId="32">
    <w:name w:val="Table Grid"/>
    <w:basedOn w:val="31"/>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34">
    <w:name w:val="Strong"/>
    <w:basedOn w:val="33"/>
    <w:qFormat/>
    <w:uiPriority w:val="22"/>
    <w:rPr>
      <w:b/>
      <w:bCs/>
    </w:rPr>
  </w:style>
  <w:style w:type="character" w:styleId="35">
    <w:name w:val="page number"/>
    <w:basedOn w:val="33"/>
    <w:unhideWhenUsed/>
    <w:qFormat/>
    <w:uiPriority w:val="99"/>
  </w:style>
  <w:style w:type="character" w:styleId="36">
    <w:name w:val="FollowedHyperlink"/>
    <w:basedOn w:val="33"/>
    <w:semiHidden/>
    <w:unhideWhenUsed/>
    <w:qFormat/>
    <w:uiPriority w:val="99"/>
    <w:rPr>
      <w:color w:val="800080"/>
      <w:u w:val="single"/>
    </w:rPr>
  </w:style>
  <w:style w:type="character" w:styleId="37">
    <w:name w:val="Emphasis"/>
    <w:qFormat/>
    <w:uiPriority w:val="20"/>
    <w:rPr>
      <w:color w:val="CC0000"/>
    </w:rPr>
  </w:style>
  <w:style w:type="character" w:styleId="38">
    <w:name w:val="Hyperlink"/>
    <w:basedOn w:val="33"/>
    <w:unhideWhenUsed/>
    <w:qFormat/>
    <w:uiPriority w:val="99"/>
    <w:rPr>
      <w:color w:val="0000FF"/>
      <w:u w:val="single"/>
    </w:rPr>
  </w:style>
  <w:style w:type="character" w:styleId="39">
    <w:name w:val="annotation reference"/>
    <w:basedOn w:val="33"/>
    <w:semiHidden/>
    <w:unhideWhenUsed/>
    <w:qFormat/>
    <w:uiPriority w:val="99"/>
    <w:rPr>
      <w:sz w:val="21"/>
      <w:szCs w:val="21"/>
    </w:rPr>
  </w:style>
  <w:style w:type="character" w:customStyle="1" w:styleId="40">
    <w:name w:val="标题 1 字符"/>
    <w:basedOn w:val="33"/>
    <w:link w:val="3"/>
    <w:qFormat/>
    <w:uiPriority w:val="0"/>
    <w:rPr>
      <w:rFonts w:ascii="Times New Roman" w:hAnsi="Times New Roman"/>
      <w:b/>
      <w:bCs/>
      <w:kern w:val="44"/>
      <w:sz w:val="44"/>
      <w:szCs w:val="44"/>
    </w:rPr>
  </w:style>
  <w:style w:type="character" w:customStyle="1" w:styleId="41">
    <w:name w:val="标题 2 字符"/>
    <w:basedOn w:val="33"/>
    <w:link w:val="4"/>
    <w:qFormat/>
    <w:uiPriority w:val="0"/>
    <w:rPr>
      <w:rFonts w:ascii="Arial" w:hAnsi="Arial" w:eastAsia="黑体" w:cs="Times New Roman"/>
      <w:b/>
      <w:bCs/>
      <w:sz w:val="32"/>
      <w:szCs w:val="32"/>
    </w:rPr>
  </w:style>
  <w:style w:type="character" w:customStyle="1" w:styleId="42">
    <w:name w:val="标题 3 字符"/>
    <w:basedOn w:val="33"/>
    <w:link w:val="5"/>
    <w:qFormat/>
    <w:uiPriority w:val="0"/>
    <w:rPr>
      <w:rFonts w:ascii="Times New Roman" w:hAnsi="Times New Roman" w:eastAsia="宋体" w:cs="Times New Roman"/>
      <w:b/>
      <w:bCs/>
      <w:sz w:val="32"/>
      <w:szCs w:val="32"/>
    </w:rPr>
  </w:style>
  <w:style w:type="character" w:customStyle="1" w:styleId="43">
    <w:name w:val="页眉 字符"/>
    <w:basedOn w:val="33"/>
    <w:link w:val="21"/>
    <w:qFormat/>
    <w:uiPriority w:val="0"/>
    <w:rPr>
      <w:sz w:val="18"/>
      <w:szCs w:val="18"/>
    </w:rPr>
  </w:style>
  <w:style w:type="character" w:customStyle="1" w:styleId="44">
    <w:name w:val="页脚 字符"/>
    <w:basedOn w:val="33"/>
    <w:link w:val="20"/>
    <w:qFormat/>
    <w:uiPriority w:val="99"/>
    <w:rPr>
      <w:sz w:val="18"/>
      <w:szCs w:val="18"/>
    </w:rPr>
  </w:style>
  <w:style w:type="paragraph" w:styleId="45">
    <w:name w:val="List Paragraph"/>
    <w:basedOn w:val="1"/>
    <w:qFormat/>
    <w:uiPriority w:val="34"/>
    <w:pPr>
      <w:ind w:firstLine="420" w:firstLineChars="200"/>
    </w:pPr>
    <w:rPr>
      <w:rFonts w:ascii="Arial Unicode MS" w:hAnsi="Arial Unicode MS" w:cs="仿宋_GB2312"/>
      <w:szCs w:val="22"/>
    </w:rPr>
  </w:style>
  <w:style w:type="character" w:customStyle="1" w:styleId="46">
    <w:name w:val="正文文本缩进 字符"/>
    <w:basedOn w:val="33"/>
    <w:link w:val="13"/>
    <w:qFormat/>
    <w:uiPriority w:val="99"/>
    <w:rPr>
      <w:rFonts w:ascii="Times New Roman" w:hAnsi="Times New Roman" w:eastAsia="宋体" w:cs="Times New Roman"/>
      <w:szCs w:val="24"/>
    </w:rPr>
  </w:style>
  <w:style w:type="paragraph" w:customStyle="1" w:styleId="47">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48">
    <w:name w:val="纯文本 字符"/>
    <w:link w:val="17"/>
    <w:qFormat/>
    <w:uiPriority w:val="0"/>
    <w:rPr>
      <w:rFonts w:ascii="宋体" w:hAnsi="Courier New" w:eastAsia="宋体"/>
      <w:sz w:val="28"/>
    </w:rPr>
  </w:style>
  <w:style w:type="character" w:customStyle="1" w:styleId="49">
    <w:name w:val="纯文本 Char1"/>
    <w:basedOn w:val="33"/>
    <w:semiHidden/>
    <w:qFormat/>
    <w:uiPriority w:val="99"/>
    <w:rPr>
      <w:rFonts w:ascii="宋体" w:hAnsi="Courier New" w:eastAsia="宋体" w:cs="Courier New"/>
      <w:szCs w:val="21"/>
    </w:rPr>
  </w:style>
  <w:style w:type="character" w:customStyle="1" w:styleId="50">
    <w:name w:val="批注文字 字符"/>
    <w:basedOn w:val="33"/>
    <w:link w:val="11"/>
    <w:qFormat/>
    <w:uiPriority w:val="99"/>
    <w:rPr>
      <w:rFonts w:ascii="Times New Roman" w:hAnsi="Times New Roman" w:eastAsia="宋体" w:cs="Times New Roman"/>
      <w:szCs w:val="24"/>
    </w:rPr>
  </w:style>
  <w:style w:type="character" w:customStyle="1" w:styleId="51">
    <w:name w:val="1正文 Char"/>
    <w:basedOn w:val="33"/>
    <w:link w:val="52"/>
    <w:qFormat/>
    <w:uiPriority w:val="0"/>
    <w:rPr>
      <w:rFonts w:eastAsia="仿宋_GB2312"/>
      <w:sz w:val="28"/>
      <w:szCs w:val="28"/>
    </w:rPr>
  </w:style>
  <w:style w:type="paragraph" w:customStyle="1" w:styleId="52">
    <w:name w:val="1正文"/>
    <w:basedOn w:val="1"/>
    <w:link w:val="51"/>
    <w:qFormat/>
    <w:uiPriority w:val="0"/>
    <w:pPr>
      <w:adjustRightInd w:val="0"/>
      <w:snapToGrid w:val="0"/>
      <w:spacing w:line="360" w:lineRule="auto"/>
      <w:ind w:firstLine="560" w:firstLineChars="200"/>
    </w:pPr>
    <w:rPr>
      <w:rFonts w:ascii="Calibri" w:hAnsi="Calibri" w:eastAsia="仿宋_GB2312"/>
      <w:sz w:val="28"/>
      <w:szCs w:val="28"/>
    </w:rPr>
  </w:style>
  <w:style w:type="character" w:customStyle="1" w:styleId="53">
    <w:name w:val="文档结构图 字符"/>
    <w:basedOn w:val="33"/>
    <w:link w:val="10"/>
    <w:semiHidden/>
    <w:qFormat/>
    <w:uiPriority w:val="99"/>
    <w:rPr>
      <w:rFonts w:ascii="宋体" w:hAnsi="Times New Roman"/>
      <w:kern w:val="2"/>
      <w:sz w:val="18"/>
      <w:szCs w:val="18"/>
    </w:rPr>
  </w:style>
  <w:style w:type="character" w:customStyle="1" w:styleId="54">
    <w:name w:val="表头文字 Char"/>
    <w:link w:val="55"/>
    <w:qFormat/>
    <w:uiPriority w:val="0"/>
    <w:rPr>
      <w:rFonts w:ascii="宋体"/>
      <w:kern w:val="2"/>
      <w:sz w:val="24"/>
      <w:szCs w:val="22"/>
      <w:lang w:val="en-US" w:eastAsia="zh-CN" w:bidi="ar-SA"/>
    </w:rPr>
  </w:style>
  <w:style w:type="paragraph" w:customStyle="1" w:styleId="55">
    <w:name w:val="表头文字"/>
    <w:next w:val="1"/>
    <w:link w:val="54"/>
    <w:qFormat/>
    <w:uiPriority w:val="0"/>
    <w:pPr>
      <w:widowControl w:val="0"/>
      <w:jc w:val="center"/>
    </w:pPr>
    <w:rPr>
      <w:rFonts w:ascii="宋体" w:hAnsi="Calibri" w:eastAsia="宋体" w:cs="Times New Roman"/>
      <w:kern w:val="2"/>
      <w:sz w:val="24"/>
      <w:szCs w:val="22"/>
      <w:lang w:val="en-US" w:eastAsia="zh-CN" w:bidi="ar-SA"/>
    </w:rPr>
  </w:style>
  <w:style w:type="paragraph" w:customStyle="1" w:styleId="56">
    <w:name w:val="样式1"/>
    <w:basedOn w:val="11"/>
    <w:next w:val="27"/>
    <w:link w:val="57"/>
    <w:qFormat/>
    <w:uiPriority w:val="0"/>
    <w:pPr>
      <w:spacing w:line="500" w:lineRule="exact"/>
      <w:ind w:firstLine="200" w:firstLineChars="200"/>
      <w:textAlignment w:val="baseline"/>
    </w:pPr>
    <w:rPr>
      <w:kern w:val="0"/>
      <w:sz w:val="24"/>
      <w:szCs w:val="20"/>
      <w:lang w:val="zh-CN"/>
    </w:rPr>
  </w:style>
  <w:style w:type="character" w:customStyle="1" w:styleId="57">
    <w:name w:val="样式1 Char"/>
    <w:link w:val="56"/>
    <w:qFormat/>
    <w:uiPriority w:val="0"/>
    <w:rPr>
      <w:rFonts w:ascii="Times New Roman" w:hAnsi="Times New Roman"/>
      <w:sz w:val="24"/>
      <w:lang w:val="zh-CN"/>
    </w:rPr>
  </w:style>
  <w:style w:type="character" w:customStyle="1" w:styleId="58">
    <w:name w:val="题注 字符"/>
    <w:link w:val="9"/>
    <w:qFormat/>
    <w:uiPriority w:val="0"/>
    <w:rPr>
      <w:rFonts w:ascii="Times New Roman" w:hAnsi="Times New Roman"/>
      <w:b/>
      <w:spacing w:val="4"/>
      <w:kern w:val="2"/>
      <w:sz w:val="21"/>
    </w:rPr>
  </w:style>
  <w:style w:type="paragraph" w:styleId="59">
    <w:name w:val="No Spacing"/>
    <w:link w:val="60"/>
    <w:qFormat/>
    <w:uiPriority w:val="0"/>
    <w:pPr>
      <w:widowControl w:val="0"/>
      <w:spacing w:line="440" w:lineRule="exact"/>
      <w:ind w:firstLine="200" w:firstLineChars="200"/>
      <w:jc w:val="both"/>
    </w:pPr>
    <w:rPr>
      <w:rFonts w:ascii="Times New Roman" w:hAnsi="Times New Roman" w:eastAsia="宋体" w:cs="Times New Roman"/>
      <w:spacing w:val="4"/>
      <w:kern w:val="2"/>
      <w:sz w:val="24"/>
      <w:szCs w:val="22"/>
      <w:lang w:val="en-US" w:eastAsia="zh-CN" w:bidi="ar-SA"/>
    </w:rPr>
  </w:style>
  <w:style w:type="character" w:customStyle="1" w:styleId="60">
    <w:name w:val="无间隔 字符"/>
    <w:link w:val="59"/>
    <w:qFormat/>
    <w:uiPriority w:val="0"/>
    <w:rPr>
      <w:rFonts w:ascii="Times New Roman" w:hAnsi="Times New Roman"/>
      <w:spacing w:val="4"/>
      <w:kern w:val="2"/>
      <w:sz w:val="24"/>
      <w:szCs w:val="22"/>
      <w:lang w:bidi="ar-SA"/>
    </w:rPr>
  </w:style>
  <w:style w:type="paragraph" w:customStyle="1" w:styleId="61">
    <w:name w:val="无间隔1"/>
    <w:qFormat/>
    <w:uiPriority w:val="0"/>
    <w:pPr>
      <w:widowControl w:val="0"/>
      <w:spacing w:line="440" w:lineRule="exact"/>
      <w:ind w:firstLine="200" w:firstLineChars="200"/>
      <w:jc w:val="both"/>
    </w:pPr>
    <w:rPr>
      <w:rFonts w:ascii="Times New Roman" w:hAnsi="Times New Roman" w:eastAsia="宋体" w:cs="黑体"/>
      <w:spacing w:val="4"/>
      <w:kern w:val="2"/>
      <w:sz w:val="24"/>
      <w:szCs w:val="22"/>
      <w:lang w:val="en-US" w:eastAsia="zh-CN" w:bidi="ar-SA"/>
    </w:rPr>
  </w:style>
  <w:style w:type="paragraph" w:customStyle="1" w:styleId="62">
    <w:name w:val="TOC 标题1"/>
    <w:basedOn w:val="3"/>
    <w:next w:val="1"/>
    <w:semiHidden/>
    <w:unhideWhenUsed/>
    <w:qFormat/>
    <w:uiPriority w:val="39"/>
    <w:pPr>
      <w:widowControl/>
      <w:spacing w:before="480" w:after="0" w:line="276" w:lineRule="auto"/>
      <w:jc w:val="left"/>
      <w:outlineLvl w:val="9"/>
    </w:pPr>
    <w:rPr>
      <w:rFonts w:ascii="Cambria" w:hAnsi="Cambria"/>
      <w:color w:val="365F91"/>
      <w:kern w:val="0"/>
      <w:sz w:val="28"/>
      <w:szCs w:val="28"/>
    </w:rPr>
  </w:style>
  <w:style w:type="character" w:customStyle="1" w:styleId="63">
    <w:name w:val="批注主题 字符"/>
    <w:basedOn w:val="50"/>
    <w:link w:val="29"/>
    <w:semiHidden/>
    <w:qFormat/>
    <w:uiPriority w:val="99"/>
    <w:rPr>
      <w:rFonts w:ascii="Times New Roman" w:hAnsi="Times New Roman" w:eastAsia="宋体" w:cs="Times New Roman"/>
      <w:b/>
      <w:bCs/>
      <w:kern w:val="2"/>
      <w:sz w:val="21"/>
      <w:szCs w:val="24"/>
    </w:rPr>
  </w:style>
  <w:style w:type="character" w:customStyle="1" w:styleId="64">
    <w:name w:val="批注框文本 字符"/>
    <w:basedOn w:val="33"/>
    <w:link w:val="19"/>
    <w:semiHidden/>
    <w:qFormat/>
    <w:uiPriority w:val="99"/>
    <w:rPr>
      <w:rFonts w:ascii="Times New Roman" w:hAnsi="Times New Roman"/>
      <w:kern w:val="2"/>
      <w:sz w:val="18"/>
      <w:szCs w:val="18"/>
    </w:rPr>
  </w:style>
  <w:style w:type="character" w:customStyle="1" w:styleId="65">
    <w:name w:val="正文文本 字符"/>
    <w:basedOn w:val="33"/>
    <w:link w:val="12"/>
    <w:qFormat/>
    <w:uiPriority w:val="99"/>
    <w:rPr>
      <w:rFonts w:ascii="宋体" w:hAnsi="Times New Roman"/>
      <w:spacing w:val="5"/>
      <w:kern w:val="2"/>
      <w:sz w:val="25"/>
      <w:szCs w:val="24"/>
    </w:rPr>
  </w:style>
  <w:style w:type="character" w:customStyle="1" w:styleId="66">
    <w:name w:val="表格 Char"/>
    <w:link w:val="67"/>
    <w:qFormat/>
    <w:uiPriority w:val="0"/>
    <w:rPr>
      <w:sz w:val="24"/>
    </w:rPr>
  </w:style>
  <w:style w:type="paragraph" w:customStyle="1" w:styleId="67">
    <w:name w:val="表格"/>
    <w:basedOn w:val="1"/>
    <w:next w:val="1"/>
    <w:link w:val="66"/>
    <w:qFormat/>
    <w:uiPriority w:val="0"/>
    <w:pPr>
      <w:adjustRightInd w:val="0"/>
      <w:spacing w:line="400" w:lineRule="atLeast"/>
      <w:jc w:val="center"/>
    </w:pPr>
    <w:rPr>
      <w:rFonts w:ascii="Calibri" w:hAnsi="Calibri"/>
      <w:kern w:val="0"/>
      <w:sz w:val="24"/>
      <w:szCs w:val="20"/>
    </w:rPr>
  </w:style>
  <w:style w:type="paragraph" w:customStyle="1" w:styleId="68">
    <w:name w:val="环正文"/>
    <w:basedOn w:val="1"/>
    <w:qFormat/>
    <w:uiPriority w:val="0"/>
    <w:pPr>
      <w:widowControl/>
      <w:suppressAutoHyphens/>
      <w:adjustRightInd w:val="0"/>
      <w:spacing w:line="240" w:lineRule="atLeast"/>
      <w:ind w:firstLine="512" w:firstLineChars="187"/>
      <w:textAlignment w:val="baseline"/>
    </w:pPr>
    <w:rPr>
      <w:rFonts w:ascii="宋体" w:hAnsi="宋体"/>
      <w:sz w:val="24"/>
      <w:szCs w:val="20"/>
    </w:rPr>
  </w:style>
  <w:style w:type="character" w:customStyle="1" w:styleId="69">
    <w:name w:val="标题 4 字符"/>
    <w:basedOn w:val="33"/>
    <w:link w:val="6"/>
    <w:qFormat/>
    <w:uiPriority w:val="9"/>
    <w:rPr>
      <w:rFonts w:ascii="Cambria" w:hAnsi="Cambria" w:eastAsia="宋体" w:cs="Times New Roman"/>
      <w:b/>
      <w:bCs/>
      <w:kern w:val="2"/>
      <w:sz w:val="28"/>
      <w:szCs w:val="28"/>
    </w:rPr>
  </w:style>
  <w:style w:type="character" w:customStyle="1" w:styleId="70">
    <w:name w:val="预案正文 Char"/>
    <w:link w:val="71"/>
    <w:qFormat/>
    <w:uiPriority w:val="0"/>
    <w:rPr>
      <w:rFonts w:ascii="宋体"/>
      <w:sz w:val="24"/>
      <w:lang w:val="en-US" w:eastAsia="zh-CN" w:bidi="ar-SA"/>
    </w:rPr>
  </w:style>
  <w:style w:type="paragraph" w:customStyle="1" w:styleId="71">
    <w:name w:val="预案正文"/>
    <w:next w:val="14"/>
    <w:link w:val="70"/>
    <w:qFormat/>
    <w:uiPriority w:val="0"/>
    <w:pPr>
      <w:widowControl w:val="0"/>
      <w:spacing w:line="360" w:lineRule="auto"/>
      <w:ind w:firstLine="200" w:firstLineChars="200"/>
      <w:jc w:val="both"/>
    </w:pPr>
    <w:rPr>
      <w:rFonts w:ascii="宋体" w:hAnsi="Calibri" w:eastAsia="宋体" w:cs="Times New Roman"/>
      <w:sz w:val="24"/>
      <w:lang w:val="en-US" w:eastAsia="zh-CN" w:bidi="ar-SA"/>
    </w:rPr>
  </w:style>
  <w:style w:type="paragraph" w:customStyle="1" w:styleId="72">
    <w:name w:val="节标题一级"/>
    <w:next w:val="14"/>
    <w:qFormat/>
    <w:uiPriority w:val="0"/>
    <w:pPr>
      <w:widowControl w:val="0"/>
      <w:tabs>
        <w:tab w:val="left" w:pos="0"/>
        <w:tab w:val="left" w:pos="568"/>
        <w:tab w:val="left" w:pos="1440"/>
      </w:tabs>
      <w:spacing w:before="240" w:after="120"/>
      <w:ind w:left="1440" w:hanging="720"/>
      <w:outlineLvl w:val="1"/>
    </w:pPr>
    <w:rPr>
      <w:rFonts w:ascii="宋体" w:hAnsi="Times New Roman" w:eastAsia="宋体" w:cs="Times New Roman"/>
      <w:b/>
      <w:sz w:val="24"/>
      <w:lang w:val="en-US" w:eastAsia="zh-CN" w:bidi="ar-SA"/>
    </w:rPr>
  </w:style>
  <w:style w:type="character" w:customStyle="1" w:styleId="73">
    <w:name w:val="标题 字符"/>
    <w:basedOn w:val="33"/>
    <w:link w:val="28"/>
    <w:qFormat/>
    <w:uiPriority w:val="0"/>
    <w:rPr>
      <w:rFonts w:ascii="Times New Roman" w:hAnsi="Times New Roman"/>
      <w:b/>
      <w:spacing w:val="5"/>
      <w:kern w:val="2"/>
      <w:sz w:val="30"/>
      <w:szCs w:val="30"/>
    </w:rPr>
  </w:style>
  <w:style w:type="paragraph" w:customStyle="1" w:styleId="74">
    <w:name w:val="样式3"/>
    <w:basedOn w:val="5"/>
    <w:next w:val="1"/>
    <w:qFormat/>
    <w:uiPriority w:val="0"/>
    <w:pPr>
      <w:spacing w:after="0" w:line="520" w:lineRule="exact"/>
    </w:pPr>
    <w:rPr>
      <w:sz w:val="30"/>
      <w:szCs w:val="30"/>
    </w:rPr>
  </w:style>
  <w:style w:type="character" w:customStyle="1" w:styleId="75">
    <w:name w:val="zw1"/>
    <w:basedOn w:val="33"/>
    <w:qFormat/>
    <w:uiPriority w:val="0"/>
    <w:rPr>
      <w:rFonts w:hint="eastAsia" w:ascii="宋体" w:hAnsi="宋体" w:eastAsia="宋体"/>
      <w:sz w:val="22"/>
      <w:szCs w:val="22"/>
    </w:rPr>
  </w:style>
  <w:style w:type="character" w:customStyle="1" w:styleId="76">
    <w:name w:val="正文缩进 字符"/>
    <w:link w:val="2"/>
    <w:qFormat/>
    <w:uiPriority w:val="0"/>
    <w:rPr>
      <w:kern w:val="2"/>
      <w:sz w:val="21"/>
      <w:szCs w:val="22"/>
    </w:rPr>
  </w:style>
  <w:style w:type="paragraph" w:customStyle="1" w:styleId="77">
    <w:name w:val="样式 普通(网站)普通 (Web) + (符号) Arial 五号 居中"/>
    <w:basedOn w:val="27"/>
    <w:qFormat/>
    <w:uiPriority w:val="0"/>
    <w:pPr>
      <w:spacing w:before="0" w:beforeAutospacing="0" w:after="0" w:afterAutospacing="0"/>
      <w:jc w:val="center"/>
    </w:pPr>
    <w:rPr>
      <w:rFonts w:ascii="Times New Roman" w:hAnsi="Times New Roman" w:cs="Times New Roman"/>
      <w:b/>
      <w:sz w:val="21"/>
    </w:rPr>
  </w:style>
  <w:style w:type="paragraph" w:customStyle="1" w:styleId="78">
    <w:name w:val="段落"/>
    <w:basedOn w:val="1"/>
    <w:link w:val="79"/>
    <w:qFormat/>
    <w:uiPriority w:val="0"/>
    <w:pPr>
      <w:widowControl/>
      <w:spacing w:beforeLines="100" w:line="288" w:lineRule="auto"/>
      <w:ind w:firstLine="420" w:firstLineChars="200"/>
      <w:jc w:val="left"/>
    </w:pPr>
    <w:rPr>
      <w:rFonts w:ascii="宋体"/>
      <w:kern w:val="0"/>
      <w:szCs w:val="20"/>
    </w:rPr>
  </w:style>
  <w:style w:type="character" w:customStyle="1" w:styleId="79">
    <w:name w:val="段落 Char"/>
    <w:link w:val="78"/>
    <w:qFormat/>
    <w:uiPriority w:val="0"/>
    <w:rPr>
      <w:rFonts w:ascii="宋体" w:hAnsi="Times New Roman"/>
      <w:sz w:val="21"/>
    </w:rPr>
  </w:style>
  <w:style w:type="paragraph" w:customStyle="1" w:styleId="80">
    <w:name w:val="Char2 Char Char Char"/>
    <w:basedOn w:val="1"/>
    <w:qFormat/>
    <w:uiPriority w:val="0"/>
    <w:pPr>
      <w:autoSpaceDE w:val="0"/>
      <w:autoSpaceDN w:val="0"/>
      <w:adjustRightInd w:val="0"/>
      <w:snapToGrid w:val="0"/>
      <w:spacing w:before="50" w:after="50" w:line="360" w:lineRule="auto"/>
      <w:ind w:firstLine="560" w:firstLineChars="200"/>
    </w:pPr>
    <w:rPr>
      <w:szCs w:val="20"/>
    </w:rPr>
  </w:style>
  <w:style w:type="paragraph" w:customStyle="1" w:styleId="81">
    <w:name w:val="表格正文"/>
    <w:basedOn w:val="1"/>
    <w:qFormat/>
    <w:uiPriority w:val="0"/>
    <w:pPr>
      <w:spacing w:line="360" w:lineRule="exact"/>
      <w:jc w:val="center"/>
    </w:pPr>
  </w:style>
  <w:style w:type="paragraph" w:customStyle="1" w:styleId="82">
    <w:name w:val="p15"/>
    <w:basedOn w:val="1"/>
    <w:qFormat/>
    <w:uiPriority w:val="0"/>
    <w:pPr>
      <w:widowControl/>
    </w:pPr>
    <w:rPr>
      <w:kern w:val="0"/>
      <w:szCs w:val="21"/>
    </w:rPr>
  </w:style>
  <w:style w:type="paragraph" w:customStyle="1" w:styleId="83">
    <w:name w:val="正文 New New New New New New New"/>
    <w:qFormat/>
    <w:uiPriority w:val="0"/>
    <w:pPr>
      <w:adjustRightInd w:val="0"/>
      <w:snapToGrid w:val="0"/>
      <w:spacing w:line="360" w:lineRule="auto"/>
      <w:jc w:val="both"/>
    </w:pPr>
    <w:rPr>
      <w:rFonts w:ascii="Calibri" w:hAnsi="Calibri" w:eastAsia="华文仿宋" w:cs="Times New Roman"/>
      <w:kern w:val="2"/>
      <w:sz w:val="28"/>
      <w:szCs w:val="22"/>
      <w:lang w:val="en-US" w:eastAsia="zh-CN" w:bidi="ar-SA"/>
    </w:rPr>
  </w:style>
  <w:style w:type="character" w:customStyle="1" w:styleId="84">
    <w:name w:val="正文文本首行缩进 字符"/>
    <w:basedOn w:val="65"/>
    <w:link w:val="30"/>
    <w:qFormat/>
    <w:uiPriority w:val="0"/>
    <w:rPr>
      <w:rFonts w:ascii="黑体" w:hAnsi="Times New Roman"/>
      <w:spacing w:val="5"/>
      <w:kern w:val="2"/>
      <w:sz w:val="21"/>
      <w:szCs w:val="24"/>
    </w:rPr>
  </w:style>
  <w:style w:type="paragraph" w:customStyle="1" w:styleId="85">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86">
    <w:name w:val="xl24"/>
    <w:basedOn w:val="1"/>
    <w:qFormat/>
    <w:uiPriority w:val="0"/>
    <w:pPr>
      <w:widowControl/>
      <w:spacing w:before="100" w:beforeAutospacing="1" w:after="100" w:afterAutospacing="1"/>
      <w:jc w:val="center"/>
    </w:pPr>
    <w:rPr>
      <w:rFonts w:ascii="Arial Unicode MS" w:hAnsi="Arial Unicode MS" w:eastAsia="Arial Unicode MS" w:cs="Arial Unicode MS"/>
      <w:kern w:val="0"/>
      <w:sz w:val="24"/>
      <w:szCs w:val="20"/>
    </w:rPr>
  </w:style>
  <w:style w:type="character" w:customStyle="1" w:styleId="87">
    <w:name w:val="apple-converted-space"/>
    <w:basedOn w:val="33"/>
    <w:qFormat/>
    <w:uiPriority w:val="0"/>
  </w:style>
  <w:style w:type="paragraph" w:customStyle="1" w:styleId="88">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89">
    <w:name w:val="xl63"/>
    <w:basedOn w:val="1"/>
    <w:qFormat/>
    <w:uiPriority w:val="0"/>
    <w:pPr>
      <w:widowControl/>
      <w:spacing w:before="100" w:beforeAutospacing="1" w:after="100" w:afterAutospacing="1"/>
      <w:jc w:val="center"/>
    </w:pPr>
    <w:rPr>
      <w:rFonts w:ascii="宋体" w:hAnsi="宋体" w:cs="宋体"/>
      <w:kern w:val="0"/>
      <w:sz w:val="24"/>
    </w:rPr>
  </w:style>
  <w:style w:type="paragraph" w:customStyle="1" w:styleId="90">
    <w:name w:val="xl64"/>
    <w:basedOn w:val="1"/>
    <w:qFormat/>
    <w:uiPriority w:val="0"/>
    <w:pPr>
      <w:widowControl/>
      <w:spacing w:before="100" w:beforeAutospacing="1" w:after="100" w:afterAutospacing="1"/>
      <w:jc w:val="center"/>
    </w:pPr>
    <w:rPr>
      <w:rFonts w:ascii="宋体" w:hAnsi="宋体" w:cs="宋体"/>
      <w:color w:val="FF0000"/>
      <w:kern w:val="0"/>
      <w:sz w:val="24"/>
    </w:rPr>
  </w:style>
  <w:style w:type="paragraph" w:customStyle="1" w:styleId="91">
    <w:name w:val="xl65"/>
    <w:basedOn w:val="1"/>
    <w:qFormat/>
    <w:uiPriority w:val="0"/>
    <w:pPr>
      <w:widowControl/>
      <w:spacing w:before="100" w:beforeAutospacing="1" w:after="100" w:afterAutospacing="1"/>
      <w:jc w:val="center"/>
    </w:pPr>
    <w:rPr>
      <w:rFonts w:ascii="宋体" w:hAnsi="宋体" w:cs="宋体"/>
      <w:kern w:val="0"/>
      <w:sz w:val="24"/>
    </w:rPr>
  </w:style>
  <w:style w:type="paragraph" w:customStyle="1" w:styleId="92">
    <w:name w:val="xl66"/>
    <w:basedOn w:val="1"/>
    <w:qFormat/>
    <w:uiPriority w:val="0"/>
    <w:pPr>
      <w:widowControl/>
      <w:spacing w:before="100" w:beforeAutospacing="1" w:after="100" w:afterAutospacing="1"/>
      <w:jc w:val="center"/>
    </w:pPr>
    <w:rPr>
      <w:rFonts w:ascii="宋体" w:hAnsi="宋体" w:cs="宋体"/>
      <w:color w:val="FF0000"/>
      <w:kern w:val="0"/>
      <w:sz w:val="24"/>
    </w:rPr>
  </w:style>
  <w:style w:type="paragraph" w:customStyle="1" w:styleId="93">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94">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95">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character" w:customStyle="1" w:styleId="96">
    <w:name w:val="标题 8 字符"/>
    <w:basedOn w:val="33"/>
    <w:link w:val="7"/>
    <w:qFormat/>
    <w:uiPriority w:val="0"/>
    <w:rPr>
      <w:rFonts w:asciiTheme="majorHAnsi" w:hAnsiTheme="majorHAnsi" w:eastAsiaTheme="majorEastAsia" w:cstheme="majorBidi"/>
      <w:kern w:val="2"/>
      <w:sz w:val="24"/>
      <w:szCs w:val="24"/>
    </w:rPr>
  </w:style>
  <w:style w:type="character" w:customStyle="1" w:styleId="97">
    <w:name w:val="1 正文 Char"/>
    <w:basedOn w:val="33"/>
    <w:link w:val="98"/>
    <w:qFormat/>
    <w:uiPriority w:val="0"/>
    <w:rPr>
      <w:rFonts w:ascii="宋体" w:hAnsi="宋体"/>
      <w:sz w:val="28"/>
      <w:szCs w:val="28"/>
    </w:rPr>
  </w:style>
  <w:style w:type="paragraph" w:customStyle="1" w:styleId="98">
    <w:name w:val="1 正文"/>
    <w:basedOn w:val="1"/>
    <w:link w:val="97"/>
    <w:qFormat/>
    <w:uiPriority w:val="0"/>
    <w:pPr>
      <w:spacing w:line="360" w:lineRule="auto"/>
      <w:ind w:firstLine="200" w:firstLineChars="200"/>
    </w:pPr>
    <w:rPr>
      <w:rFonts w:ascii="宋体" w:hAnsi="宋体"/>
      <w:kern w:val="0"/>
      <w:sz w:val="28"/>
      <w:szCs w:val="28"/>
    </w:rPr>
  </w:style>
  <w:style w:type="paragraph" w:customStyle="1" w:styleId="99">
    <w:name w:val="p0"/>
    <w:basedOn w:val="1"/>
    <w:qFormat/>
    <w:uiPriority w:val="0"/>
    <w:pPr>
      <w:widowControl/>
      <w:spacing w:line="425" w:lineRule="atLeast"/>
    </w:pPr>
    <w:rPr>
      <w:color w:val="000000"/>
      <w:kern w:val="0"/>
      <w:szCs w:val="21"/>
    </w:rPr>
  </w:style>
  <w:style w:type="paragraph" w:customStyle="1" w:styleId="100">
    <w:name w:val="正文 New"/>
    <w:qFormat/>
    <w:uiPriority w:val="0"/>
    <w:pPr>
      <w:widowControl w:val="0"/>
      <w:jc w:val="both"/>
    </w:pPr>
    <w:rPr>
      <w:rFonts w:ascii="Times New Roman" w:hAnsi="Times New Roman" w:eastAsia="宋体" w:cs="Times New Roman"/>
      <w:kern w:val="2"/>
      <w:sz w:val="21"/>
      <w:szCs w:val="21"/>
      <w:lang w:val="en-US" w:eastAsia="zh-CN" w:bidi="ar-SA"/>
    </w:rPr>
  </w:style>
  <w:style w:type="character" w:customStyle="1" w:styleId="101">
    <w:name w:val="表格文字 Char Char"/>
    <w:link w:val="102"/>
    <w:qFormat/>
    <w:locked/>
    <w:uiPriority w:val="0"/>
    <w:rPr>
      <w:rFonts w:ascii="宋体"/>
      <w:sz w:val="24"/>
      <w:szCs w:val="22"/>
    </w:rPr>
  </w:style>
  <w:style w:type="paragraph" w:customStyle="1" w:styleId="102">
    <w:name w:val="表格文字"/>
    <w:next w:val="1"/>
    <w:link w:val="101"/>
    <w:qFormat/>
    <w:uiPriority w:val="0"/>
    <w:pPr>
      <w:widowControl w:val="0"/>
    </w:pPr>
    <w:rPr>
      <w:rFonts w:ascii="宋体" w:hAnsi="Calibri" w:eastAsia="宋体" w:cs="Times New Roman"/>
      <w:sz w:val="24"/>
      <w:szCs w:val="22"/>
      <w:lang w:val="en-US" w:eastAsia="zh-CN" w:bidi="ar-SA"/>
    </w:rPr>
  </w:style>
  <w:style w:type="character" w:customStyle="1" w:styleId="103">
    <w:name w:val="普通(网站) 字符"/>
    <w:link w:val="27"/>
    <w:qFormat/>
    <w:uiPriority w:val="99"/>
    <w:rPr>
      <w:rFonts w:ascii="宋体" w:hAnsi="宋体" w:cs="宋体"/>
      <w:sz w:val="24"/>
      <w:szCs w:val="24"/>
    </w:rPr>
  </w:style>
  <w:style w:type="character" w:customStyle="1" w:styleId="104">
    <w:name w:val="未处理的提及1"/>
    <w:basedOn w:val="33"/>
    <w:semiHidden/>
    <w:unhideWhenUsed/>
    <w:qFormat/>
    <w:uiPriority w:val="99"/>
    <w:rPr>
      <w:color w:val="605E5C"/>
      <w:shd w:val="clear" w:color="auto" w:fill="E1DFDD"/>
    </w:rPr>
  </w:style>
  <w:style w:type="paragraph" w:customStyle="1" w:styleId="105">
    <w:name w:val="Char Char Char1 Char Char Char Char Char Char Char Char Char"/>
    <w:basedOn w:val="1"/>
    <w:next w:val="1"/>
    <w:qFormat/>
    <w:uiPriority w:val="0"/>
    <w:rPr>
      <w:rFonts w:eastAsia="楷体_GB2312"/>
      <w:b/>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2.emf"/><Relationship Id="rId16" Type="http://schemas.openxmlformats.org/officeDocument/2006/relationships/oleObject" Target="embeddings/oleObject2.bin"/><Relationship Id="rId15" Type="http://schemas.openxmlformats.org/officeDocument/2006/relationships/image" Target="media/image1.emf"/><Relationship Id="rId14" Type="http://schemas.openxmlformats.org/officeDocument/2006/relationships/oleObject" Target="embeddings/oleObject1.bin"/><Relationship Id="rId13" Type="http://schemas.openxmlformats.org/officeDocument/2006/relationships/theme" Target="theme/theme1.xml"/><Relationship Id="rId12" Type="http://schemas.openxmlformats.org/officeDocument/2006/relationships/header" Target="header7.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BECDCB-8D9F-43FE-B8D9-DDC8F9C5F91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57</Pages>
  <Words>5239</Words>
  <Characters>29868</Characters>
  <Lines>248</Lines>
  <Paragraphs>70</Paragraphs>
  <TotalTime>1</TotalTime>
  <ScaleCrop>false</ScaleCrop>
  <LinksUpToDate>false</LinksUpToDate>
  <CharactersWithSpaces>35037</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2018-09-13T03:26:00Z</dcterms:created>
  <dc:creator>Administrator</dc:creator>
  <cp:lastModifiedBy>LHH</cp:lastModifiedBy>
  <dcterms:modified xsi:type="dcterms:W3CDTF">2019-06-21T00:13:38Z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